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GHG Emissions and Solar PV Project Notes</w:t>
      </w:r>
    </w:p>
    <w:p>
      <w:pPr>
        <w:pStyle w:val="Heading2"/>
      </w:pPr>
      <w:r>
        <w:t>Solar PV Plant Project Scenario</w:t>
      </w:r>
    </w:p>
    <w:p>
      <w:r>
        <w:br/>
        <w:t>The organization consumes about 1500 MWh/year of grid electricity supplied by a regional grid dominated by coal-based power plants.</w:t>
        <w:br/>
        <w:br/>
        <w:t>In 2024, the company installed a 1000 MWh/year Solar PV Plant on the factory rooftop. The plant exports electricity directly into the internal power system, offsetting grid consumption.</w:t>
        <w:br/>
        <w:br/>
        <w:t>Solar Plant Started on: 1st Jan 2024</w:t>
        <w:br/>
        <w:br/>
        <w:t>Reporting Period: Calendar Year 2024</w:t>
        <w:br/>
        <w:br/>
        <w:t>GHG Boundary: Shree Digvijay Cement operations including Solar PV Plant</w:t>
        <w:br/>
        <w:br/>
        <w:t>Baseline Scenario:</w:t>
        <w:br/>
        <w:t>Emissions generated from use of grid supplied electricity (Business As Usual scenario)</w:t>
        <w:br/>
        <w:br/>
        <w:t>Project Scenario:</w:t>
        <w:br/>
        <w:t>Emissions reduced by generating electricity from Solar PV Plant. Emissions generated during project operation are considered.</w:t>
        <w:br/>
        <w:br/>
        <w:t>To run the project:</w:t>
        <w:br/>
        <w:t>Diesel pump is used to clean the water pump.</w:t>
        <w:br/>
        <w:br/>
        <w:t>Activity Data:</w:t>
        <w:br/>
        <w:t>1200 Litres / Year</w:t>
        <w:br/>
      </w:r>
    </w:p>
    <w:p>
      <w:pPr>
        <w:pStyle w:val="Heading2"/>
      </w:pPr>
      <w:r>
        <w:t>Scope 3 Categories</w:t>
      </w:r>
    </w:p>
    <w:p>
      <w:r>
        <w:t>1. Purchased goods and services</w:t>
      </w:r>
    </w:p>
    <w:p>
      <w:r>
        <w:t>2. Capital goods</w:t>
      </w:r>
    </w:p>
    <w:p>
      <w:r>
        <w:t>3. Fuel- and energy-related activities (not included in scope 1 or scope 2)</w:t>
      </w:r>
    </w:p>
    <w:p>
      <w:r>
        <w:t>4. Upstream transportation and distribution</w:t>
      </w:r>
    </w:p>
    <w:p>
      <w:r>
        <w:t>5. Waste generated in operations</w:t>
      </w:r>
    </w:p>
    <w:p>
      <w:r>
        <w:t>6. Business travel</w:t>
      </w:r>
    </w:p>
    <w:p>
      <w:r>
        <w:t>7. Employee commuting</w:t>
      </w:r>
    </w:p>
    <w:p>
      <w:r>
        <w:t>8. Upstream leased assets</w:t>
      </w:r>
    </w:p>
    <w:p>
      <w:r>
        <w:t>9. Downstream transportation and distribution</w:t>
      </w:r>
    </w:p>
    <w:p>
      <w:r>
        <w:t>10. Processing of sold products</w:t>
      </w:r>
    </w:p>
    <w:p>
      <w:r>
        <w:t>11. Use of sold products</w:t>
      </w:r>
    </w:p>
    <w:p>
      <w:r>
        <w:t>12. End-of-life treatment of sold products</w:t>
      </w:r>
    </w:p>
    <w:p>
      <w:r>
        <w:t>13. Downstream leased assets</w:t>
      </w:r>
    </w:p>
    <w:p>
      <w:r>
        <w:t>14. Franchises</w:t>
      </w:r>
    </w:p>
    <w:p>
      <w:r>
        <w:t>15. Investments</w:t>
      </w:r>
    </w:p>
    <w:p>
      <w:pPr>
        <w:pStyle w:val="Heading2"/>
      </w:pPr>
      <w:r>
        <w:t>Emission Scopes and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Emission Type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Direct emissions</w:t>
            </w:r>
          </w:p>
        </w:tc>
        <w:tc>
          <w:tcPr>
            <w:tcW w:type="dxa" w:w="2160"/>
          </w:tcPr>
          <w:p>
            <w:r>
              <w:t>Scope 1</w:t>
            </w:r>
          </w:p>
        </w:tc>
        <w:tc>
          <w:tcPr>
            <w:tcW w:type="dxa" w:w="2160"/>
          </w:tcPr>
          <w:p>
            <w:r>
              <w:t>Emissions from operations owned or controlled by the reporting company</w:t>
            </w:r>
          </w:p>
        </w:tc>
        <w:tc>
          <w:tcPr>
            <w:tcW w:type="dxa" w:w="2160"/>
          </w:tcPr>
          <w:p>
            <w:r>
              <w:t>Combustion in boilers, furnaces, vehicles and process equipment</w:t>
            </w:r>
          </w:p>
        </w:tc>
      </w:tr>
      <w:tr>
        <w:tc>
          <w:tcPr>
            <w:tcW w:type="dxa" w:w="2160"/>
          </w:tcPr>
          <w:p>
            <w:r>
              <w:t>Indirect emissions</w:t>
            </w:r>
          </w:p>
        </w:tc>
        <w:tc>
          <w:tcPr>
            <w:tcW w:type="dxa" w:w="2160"/>
          </w:tcPr>
          <w:p>
            <w:r>
              <w:t>Scope 2</w:t>
            </w:r>
          </w:p>
        </w:tc>
        <w:tc>
          <w:tcPr>
            <w:tcW w:type="dxa" w:w="2160"/>
          </w:tcPr>
          <w:p>
            <w:r>
              <w:t>Emissions from generation of purchased electricity, steam, heating or cooling consumed by the reporting company</w:t>
            </w:r>
          </w:p>
        </w:tc>
        <w:tc>
          <w:tcPr>
            <w:tcW w:type="dxa" w:w="2160"/>
          </w:tcPr>
          <w:p>
            <w:r>
              <w:t>Purchased electricity, steam, heating and cooling</w:t>
            </w:r>
          </w:p>
        </w:tc>
      </w:tr>
      <w:tr>
        <w:tc>
          <w:tcPr>
            <w:tcW w:type="dxa" w:w="2160"/>
          </w:tcPr>
          <w:p>
            <w:r>
              <w:t>Indirect emissions</w:t>
            </w:r>
          </w:p>
        </w:tc>
        <w:tc>
          <w:tcPr>
            <w:tcW w:type="dxa" w:w="2160"/>
          </w:tcPr>
          <w:p>
            <w:r>
              <w:t>Scope 3</w:t>
            </w:r>
          </w:p>
        </w:tc>
        <w:tc>
          <w:tcPr>
            <w:tcW w:type="dxa" w:w="2160"/>
          </w:tcPr>
          <w:p>
            <w:r>
              <w:t>All indirect emissions occurring in the value chain including upstream and downstream activities</w:t>
            </w:r>
          </w:p>
        </w:tc>
        <w:tc>
          <w:tcPr>
            <w:tcW w:type="dxa" w:w="2160"/>
          </w:tcPr>
          <w:p>
            <w:r>
              <w:t>Purchased products, transportation and product 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