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Related Work</w:t>
      </w:r>
    </w:p>
    <w:p>
      <w:pPr>
        <w:pStyle w:val="Heading2"/>
      </w:pPr>
      <w:r>
        <w:t>3.1  Natural Language Inference</w:t>
      </w:r>
    </w:p>
    <w:p>
      <w:pPr>
        <w:spacing w:after="120"/>
      </w:pPr>
      <w:r>
        <w:t>Natural Language Inference (NLI) is the task of determining the logical relationship between a premise and a hypothesis. Early neural approaches relied on attention-based decomposable models (Parikh et al., 2016). The introduction of large pre-trained language models substantially advanced the state of the art: Devlin et al. (2019) demonstrated that fine-tuning BERT on the MultiNLI benchmark (Williams et al., 2018) achieves strong performance across genres. Liu et al. (2019) further improved results through robust training objectives with RoBERTa.</w:t>
      </w:r>
    </w:p>
    <w:p>
      <w:pPr>
        <w:pStyle w:val="Heading2"/>
      </w:pPr>
      <w:r>
        <w:t>3.2  Knowledge-Enhanced NLI</w:t>
      </w:r>
    </w:p>
    <w:p>
      <w:pPr>
        <w:spacing w:after="120"/>
      </w:pPr>
      <w:r>
        <w:t>A growing line of research augments NLI models with structured external knowledge to handle cases that require world or commonsense reasoning beyond surface-level textual cues. Chen et al. (2021) proposed injecting ConceptNet embeddings into the encoder to improve inference on knowledge-intensive examples. More recently, Wang et al. (2024) introduced a graph-attention mechanism that dynamically retrieves and integrates subgraphs from an external knowledge graph at inference time, reporting consistent gains on both MNLI and SNLI benchmarks. These findings motivate our Condition E ablation, which evaluates the contribution of external knowledge graph integration to our model.</w:t>
      </w:r>
    </w:p>
    <w:p>
      <w:pPr>
        <w:pStyle w:val="Heading2"/>
      </w:pPr>
      <w:r>
        <w:t>3.3  Ablation Studies in NLP</w:t>
      </w:r>
    </w:p>
    <w:p>
      <w:pPr>
        <w:spacing w:after="120"/>
      </w:pPr>
      <w:r>
        <w:t>Ablation studies are a standard methodology for isolating the contribution of individual model components (Meyes et al., 2019). We follow this practice to evaluate each condition in our experimental setup.</w:t>
      </w:r>
    </w:p>
    <w:p>
      <w:pPr>
        <w:pStyle w:val="Heading1"/>
      </w:pPr>
      <w:r>
        <w:t>References</w:t>
      </w:r>
    </w:p>
    <w:p>
      <w:pPr>
        <w:pStyle w:val="ListParagraph"/>
        <w:spacing w:after="80"/>
      </w:pPr>
      <w:r>
        <w:t>Chen, Y., Liu, Z., &amp; Sun, M. (2021). Knowledge-aware natural language inference with ConceptNet. In Proceedings of EMNLP 2021 (pp. 3441–3452).</w:t>
      </w:r>
    </w:p>
    <w:p>
      <w:pPr>
        <w:pStyle w:val="ListParagraph"/>
        <w:spacing w:after="80"/>
      </w:pPr>
      <w:r>
        <w:t>Devlin, J., Chang, M.-W., Lee, K., &amp; Toutanova, K. (2019). BERT: Pre-training of deep bidirectional transformers for language understanding. In Proceedings of NAACL-HLT 2019 (pp. 4171–4186).</w:t>
      </w:r>
    </w:p>
    <w:p>
      <w:pPr>
        <w:pStyle w:val="ListParagraph"/>
        <w:spacing w:after="80"/>
      </w:pPr>
      <w:r>
        <w:t>Liu, Y., Ott, M., Goyal, N., Du, J., Joshi, M., Chen, D., Levy, O., Lewis, M., Zettlemoyer, L., &amp; Stoyanov, V. (2019). RoBERTa: A robustly optimized BERT pretraining approach. arXiv preprint arXiv:1907.11692.</w:t>
      </w:r>
    </w:p>
    <w:p>
      <w:pPr>
        <w:pStyle w:val="ListParagraph"/>
        <w:spacing w:after="80"/>
      </w:pPr>
      <w:r>
        <w:t>Meyes, R., Lu, M., de Puiseau, C. W., &amp; Meisen, T. (2019). Ablation studies in artificial neural networks. arXiv preprint arXiv:1901.08644.</w:t>
      </w:r>
    </w:p>
    <w:p>
      <w:pPr>
        <w:pStyle w:val="ListParagraph"/>
        <w:spacing w:after="80"/>
      </w:pPr>
      <w:r>
        <w:t>Parikh, A., Täckström, O., Das, D., &amp; Uszkoreit, J. (2016). A decomposable attention model for natural language inference. In Proceedings of EMNLP 2016 (pp. 2249–2255).</w:t>
      </w:r>
    </w:p>
    <w:p>
      <w:pPr>
        <w:pStyle w:val="ListParagraph"/>
        <w:spacing w:after="80"/>
      </w:pPr>
      <w:r>
        <w:t>Williams, A., Nangia, N., &amp; Bowman, S. (2018). A broad-coverage challenge corpus for sentence understanding through inference. In Proceedings of NAACL-HLT 2018 (pp. 1112–1122).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