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000000"/>
          <w:sz w:val="22"/>
        </w:rPr>
        <w:t>BỘ MÔN KHOA HỌC MÁY TÍNH – KHOA CÔNG NGHỆ THÔNG TIN</w:t>
      </w:r>
    </w:p>
    <w:p>
      <w:pPr>
        <w:pStyle w:val="Title"/>
        <w:spacing w:before="1120"/>
        <w:jc w:val="center"/>
      </w:pPr>
      <w:commentRangeStart w:id="0"/>
      <w:r>
        <w:rPr>
          <w:rFonts w:ascii="Arial" w:hAnsi="Arial"/>
          <w:b/>
          <w:color w:val="000000"/>
          <w:sz w:val="40"/>
        </w:rPr>
        <w:t>DỮ LIỆU TEMPORAL VÀ ĐO LƯỜNG DRIFT</w:t>
      </w:r>
      <w:commentRangeEnd w:id="0"/>
      <w:r>
        <w:rPr>
          <w:rStyle w:val="CommentReference"/>
          <w:color w:val="000000"/>
        </w:rPr>
        <w:commentReference w:id="0"/>
      </w:r>
    </w:p>
    <w:p>
      <w:pPr>
        <w:pStyle w:val="Subtitle"/>
        <w:spacing w:before="240"/>
        <w:jc w:val="center"/>
      </w:pPr>
      <w:r>
        <w:rPr>
          <w:i/>
          <w:color w:val="000000"/>
          <w:sz w:val="22"/>
        </w:rPr>
        <w:t>Từ evidence lịch sử đến query-level above-noise representation displacement</w:t>
      </w:r>
    </w:p>
    <w:p>
      <w:pPr>
        <w:spacing w:before="840"/>
        <w:jc w:val="center"/>
      </w:pPr>
      <w:r>
        <w:rPr>
          <w:rFonts w:ascii="Arial" w:hAnsi="Arial"/>
          <w:b/>
          <w:color w:val="000000"/>
          <w:sz w:val="26"/>
        </w:rPr>
        <w:t>ĐỊNH LƯỢNG ĐỘ TRÔI BIỂU DIỄN CÓ HIỆU CHỈNH NHIỄU CHO SUY LUẬN ĐA BƯỚC TRÊN ĐỒ THỊ TRI THỨC TIẾN HÓA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Loại tài liệu</w:t>
            </w:r>
          </w:p>
        </w:tc>
        <w:tc>
          <w:tcPr>
            <w:tcW w:type="dxa" w:w="595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Tài liệu mô tả ngữ cảnh nghiên cứu</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Tác giả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Trần Phùng Đức Anh; Nguyễn Việt Tuấn Anh; Nguyễn Thu Hương; Võ Nguyễn Anh Kiệt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Người hướng dẫn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ThS. Nguyễn Đình Quý</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Đơn vị</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Bộ môn Khoa học máy tính – Khoa Công nghệ thông tin</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Ngày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gốc tháng 8 năm 2026; cập nhật 17/09/2026</w:t>
            </w:r>
          </w:p>
        </w:tc>
      </w:tr>
    </w:tbl>
    <w:p>
      <w:r>
        <w:rPr>
          <w:color w:val="000000"/>
        </w:rPr>
        <w:br w:type="page"/>
      </w:r>
    </w:p>
    <w:p>
      <w:pPr>
        <w:jc w:val="center"/>
      </w:pPr>
      <w:r>
        <w:rPr>
          <w:color w:val="000000"/>
        </w:rPr>
        <w:drawing>
          <wp:inline xmlns:a="http://schemas.openxmlformats.org/drawingml/2006/main" xmlns:pic="http://schemas.openxmlformats.org/drawingml/2006/picture">
            <wp:extent cx="5852160" cy="4486656"/>
            <wp:docPr id="1" name="Picture 1"/>
            <wp:cNvGraphicFramePr>
              <a:graphicFrameLocks noChangeAspect="1"/>
            </wp:cNvGraphicFramePr>
            <a:graphic>
              <a:graphicData uri="http://schemas.openxmlformats.org/drawingml/2006/picture">
                <pic:pic>
                  <pic:nvPicPr>
                    <pic:cNvPr id="0" name="architecture_context.png"/>
                    <pic:cNvPicPr/>
                  </pic:nvPicPr>
                  <pic:blipFill>
                    <a:blip r:embed="rId11"/>
                    <a:stretch>
                      <a:fillRect/>
                    </a:stretch>
                  </pic:blipFill>
                  <pic:spPr>
                    <a:xfrm>
                      <a:off x="0" y="0"/>
                      <a:ext cx="5852160" cy="4486656"/>
                    </a:xfrm>
                    <a:prstGeom prst="rect"/>
                  </pic:spPr>
                </pic:pic>
              </a:graphicData>
            </a:graphic>
          </wp:inline>
        </w:drawing>
      </w:r>
    </w:p>
    <w:p>
      <w:pPr>
        <w:jc w:val="center"/>
      </w:pPr>
      <w:r>
        <w:rPr>
          <w:i/>
          <w:color w:val="000000"/>
          <w:sz w:val="18"/>
        </w:rPr>
        <w:t>Hình kiến trúc kế thừa 1.2; quy tắc hiện hành theo bộ DOCX 1.3.</w:t>
      </w:r>
    </w:p>
    <w:p>
      <w:pPr>
        <w:spacing w:after="160"/>
      </w:pPr>
      <w:r>
        <w:rPr>
          <w:color w:val="000000"/>
        </w:rPr>
        <w:t>Phiên bản ngữ cảnh 1.3 • Cập nhật ngày 17/09/2026 • Kế hoạch 8 tuần • Chưa khóa thí nghiệm</w:t>
      </w:r>
    </w:p>
    <w:p>
      <w:pPr>
        <w:pStyle w:val="Heading1"/>
      </w:pPr>
      <w:r>
        <w:rPr>
          <w:color w:val="000000"/>
        </w:rPr>
        <w:t>1  Chuỗi dữ liệu</w:t>
      </w:r>
    </w:p>
    <w:p>
      <w:r>
        <w:rPr>
          <w:color w:val="000000"/>
        </w:rPr>
        <w:t>Nguồn có phiên bản → claim và bằng chứng → thực thể chuẩn và thời gian → FactVersion → snapshot. Từ snapshot tách nhánh KGE/drift và nhánh benchmark; chỉ ghép sau khi đăng ký support và khóa quy tắc.</w:t>
      </w:r>
    </w:p>
    <w:p>
      <w:r>
        <w:rPr>
          <w:i w:val="0"/>
          <w:color w:val="000000"/>
        </w:rPr>
        <w:t>Canonical Parquet snapshot là source of truth khoa học. Neo4j 5.x chỉ materialize graph để truy vấn/path; mọi kết quả Neo4j phải có set parity với snapshot chuẩn. Entity mapping và extraction configuration được version hóa để tránh sử dụng dictionary hoặc resolver học từ tương lai.</w:t>
      </w:r>
    </w:p>
    <w:p>
      <w:pPr>
        <w:pStyle w:val="Heading1"/>
      </w:pPr>
      <w:r>
        <w:rPr>
          <w:color w:val="000000"/>
        </w:rPr>
        <w:t>2  Lược đồ thời gian cuối</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311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Trường</w:t>
            </w:r>
          </w:p>
        </w:tc>
        <w:tc>
          <w:tcPr>
            <w:tcW w:type="dxa" w:w="6066"/>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Ý nghĩa</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FactVersionID</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Định danh bất biến của một phiên bản fact.</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LogicalFactID</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Định danh fact logic xuyên các revision.</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subject_id / relation_id / object_id</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Canonical subject, relation và object/value.</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valid_from / valid_to</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Khoảng hiệu lực mà nguồn khẳng định trong thế giới.</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evidence_observed_at</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Thời điểm evidence trở nên công khai; trục as-of khoa học chính.</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ingested_at_real</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Thời điểm dự án nạp source; dùng provenance, không backdate tri thức.</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supersedes_version_id</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Phiên bản bị bản hiện tại thay thế.</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revision_type</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assert, correct, retract hoặc close_interval.</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source_id/source_url</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Nguồn và đường dẫn bằng chứng.</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 span/hash</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Vị trí span, nội dung hoặc hash để audit.</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extractor/entity-map version</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Phiên bản pipeline và canonical mapping.</w:t>
            </w:r>
          </w:p>
        </w:tc>
      </w:tr>
      <w:tr>
        <w:trPr>
          <w:cantSplit/>
        </w:trPr>
        <w:tc>
          <w:tcPr>
            <w:tcW w:type="dxa" w:w="311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confidence/adjudication_status</w:t>
            </w:r>
          </w:p>
        </w:tc>
        <w:tc>
          <w:tcPr>
            <w:tcW w:type="dxa" w:w="606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Điểm vận hành và trạng thái duyệt; confidence không mặc định là xác suất calibrated.</w:t>
            </w:r>
          </w:p>
        </w:tc>
      </w:tr>
    </w:tbl>
    <w:p>
      <w:pPr>
        <w:pStyle w:val="Heading1"/>
      </w:pPr>
      <w:r>
        <w:rPr>
          <w:color w:val="000000"/>
        </w:rPr>
        <w:t>3  Quy tắc as of và corrections</w:t>
      </w:r>
    </w:p>
    <w:p>
      <w:r>
        <w:rPr>
          <w:color w:val="000000"/>
        </w:rPr>
        <w:t>Eligible(f, T) ⇔ evidence_observed_at(f) ≤ T</w:t>
      </w:r>
    </w:p>
    <w:p>
      <w:r>
        <w:rPr>
          <w:color w:val="000000"/>
        </w:rPr>
        <w:t>ingested_at_real không quyết định historical scientific state.</w:t>
      </w:r>
    </w:p>
    <w:p>
      <w:r>
        <w:rPr>
          <w:color w:val="000000"/>
        </w:rPr>
        <w:t>Active(f, T) ⇔ valid_from ≤ T &lt; valid_to</w:t>
      </w:r>
    </w:p>
    <w:p>
      <w:r>
        <w:rPr>
          <w:color w:val="000000"/>
        </w:rPr>
        <w:t>Với state, valid_to rỗng chỉ là chưa có mốc kết thúc được xác nhận, không tự bảo đảm trạng thái tồn tại mãi. Chỉ đưa vào snapshot theo chính sách thời gian/độ chắc đã khóa. Quan hệ event áp dụng ngữ nghĩa lịch sử ở tài liệu 06. Revision mới không viết lại evidence availability cũ.</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215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Tình huống</w:t>
            </w:r>
          </w:p>
        </w:tc>
        <w:tc>
          <w:tcPr>
            <w:tcW w:type="dxa" w:w="419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Xử lý</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Điều chống leakage</w:t>
            </w:r>
          </w:p>
        </w:tc>
      </w:tr>
      <w:tr>
        <w:trPr>
          <w:cantSplit/>
        </w:trPr>
        <w:tc>
          <w:tcPr>
            <w:tcW w:type="dxa" w:w="215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 Công bố bình thường</w:t>
            </w:r>
          </w:p>
        </w:tc>
        <w:tc>
          <w:tcPr>
            <w:tcW w:type="dxa" w:w="419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Fact xuất hiện ở snapshot đầu tiên có cutoff không trước evidence_observed_at; validity áp theo nguồn.</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cho fact xuất hiện trước ngày evidence công khai.</w:t>
            </w:r>
          </w:p>
        </w:tc>
      </w:tr>
      <w:tr>
        <w:trPr>
          <w:cantSplit/>
        </w:trPr>
        <w:tc>
          <w:tcPr>
            <w:tcW w:type="dxa" w:w="215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 Correction muộn</w:t>
            </w:r>
          </w:p>
        </w:tc>
        <w:tc>
          <w:tcPr>
            <w:tcW w:type="dxa" w:w="419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Tạo FactVersion mới với observed time của correction; liên kết supersedes; giữ version cũ trong log.</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Snapshot trước correction vẫn phản ánh tri thức đã quan sát khi đó.</w:t>
            </w:r>
          </w:p>
        </w:tc>
      </w:tr>
      <w:tr>
        <w:trPr>
          <w:cantSplit/>
        </w:trPr>
        <w:tc>
          <w:tcPr>
            <w:tcW w:type="dxa" w:w="215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 Thu bài lịch sử vào năm 2026</w:t>
            </w:r>
          </w:p>
        </w:tc>
        <w:tc>
          <w:tcPr>
            <w:tcW w:type="dxa" w:w="419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Giữ ingested_at_real=2026; historical availability dùng publication/evidence_observed_at đã xác minh.</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dùng ingestion time làm lịch sử giả; không dùng synthetic replay time làm primary state.</w:t>
            </w:r>
          </w:p>
        </w:tc>
      </w:tr>
    </w:tbl>
    <w:p>
      <w:pPr>
        <w:keepNext/>
      </w:pPr>
      <w:r>
        <w:rPr>
          <w:b/>
          <w:color w:val="000000"/>
        </w:rPr>
        <w:t>Giả mã 1 — Tạo snapshot quyết định</w:t>
      </w:r>
    </w:p>
    <w:p>
      <w:pPr>
        <w:keepNext/>
        <w:keepLines/>
        <w:spacing w:after="0" w:line="240" w:lineRule="auto"/>
      </w:pPr>
      <w:r>
        <w:rPr>
          <w:rFonts w:ascii="DejaVu Sans Mono" w:hAnsi="DejaVu Sans Mono"/>
          <w:color w:val="000000"/>
          <w:sz w:val="17"/>
        </w:rPr>
        <w:t>def build_snapshot(claim_versions, cutoff, policy):</w:t>
      </w:r>
    </w:p>
    <w:p>
      <w:pPr>
        <w:keepNext/>
        <w:keepLines/>
        <w:spacing w:after="0" w:line="240" w:lineRule="auto"/>
      </w:pPr>
      <w:r>
        <w:rPr>
          <w:rFonts w:ascii="DejaVu Sans Mono" w:hAnsi="DejaVu Sans Mono"/>
          <w:color w:val="000000"/>
          <w:sz w:val="17"/>
        </w:rPr>
        <w:t xml:space="preserve">    eligible = select_verified_evidence_asof(claim_versions, cutoff)</w:t>
      </w:r>
    </w:p>
    <w:p>
      <w:pPr>
        <w:keepNext/>
        <w:keepLines/>
        <w:spacing w:after="0" w:line="240" w:lineRule="auto"/>
      </w:pPr>
      <w:r>
        <w:rPr>
          <w:rFonts w:ascii="DejaVu Sans Mono" w:hAnsi="DejaVu Sans Mono"/>
          <w:color w:val="000000"/>
          <w:sz w:val="17"/>
        </w:rPr>
        <w:t xml:space="preserve">    latest = latest_in_each_valid_supersedes_chain(eligible)</w:t>
      </w:r>
    </w:p>
    <w:p>
      <w:pPr>
        <w:keepNext/>
        <w:keepLines/>
        <w:spacing w:after="0" w:line="240" w:lineRule="auto"/>
      </w:pPr>
      <w:r>
        <w:rPr>
          <w:rFonts w:ascii="DejaVu Sans Mono" w:hAnsi="DejaVu Sans Mono"/>
          <w:color w:val="000000"/>
          <w:sz w:val="17"/>
        </w:rPr>
        <w:t xml:space="preserve">    resolved = resolve_source_claim_conflicts_asof(latest, policy)</w:t>
      </w:r>
    </w:p>
    <w:p>
      <w:pPr>
        <w:keepNext/>
        <w:keepLines/>
        <w:spacing w:after="0" w:line="240" w:lineRule="auto"/>
      </w:pPr>
      <w:r>
        <w:rPr>
          <w:rFonts w:ascii="DejaVu Sans Mono" w:hAnsi="DejaVu Sans Mono"/>
          <w:color w:val="000000"/>
          <w:sz w:val="17"/>
        </w:rPr>
        <w:t xml:space="preserve">    active = project_by_relation_kind_and_validity(resolved, cutoff)</w:t>
      </w:r>
    </w:p>
    <w:p>
      <w:pPr>
        <w:keepNext/>
        <w:keepLines/>
        <w:spacing w:after="0" w:line="240" w:lineRule="auto"/>
      </w:pPr>
      <w:r>
        <w:rPr>
          <w:rFonts w:ascii="DejaVu Sans Mono" w:hAnsi="DejaVu Sans Mono"/>
          <w:color w:val="000000"/>
          <w:sz w:val="17"/>
        </w:rPr>
        <w:t xml:space="preserve">    assert no_future_evidence_or_mapping(active, cutoff)</w:t>
      </w:r>
    </w:p>
    <w:p>
      <w:pPr>
        <w:keepNext/>
        <w:keepLines/>
        <w:spacing w:after="0" w:line="240" w:lineRule="auto"/>
      </w:pPr>
      <w:r>
        <w:rPr>
          <w:rFonts w:ascii="DejaVu Sans Mono" w:hAnsi="DejaVu Sans Mono"/>
          <w:color w:val="000000"/>
          <w:sz w:val="17"/>
        </w:rPr>
        <w:t xml:space="preserve">    assert no_unresolved_primary_conflicts(active)</w:t>
      </w:r>
    </w:p>
    <w:p>
      <w:pPr>
        <w:keepNext/>
        <w:keepLines/>
        <w:spacing w:after="0" w:line="240" w:lineRule="auto"/>
      </w:pPr>
      <w:r>
        <w:rPr>
          <w:rFonts w:ascii="DejaVu Sans Mono" w:hAnsi="DejaVu Sans Mono"/>
          <w:color w:val="000000"/>
          <w:sz w:val="17"/>
        </w:rPr>
        <w:t xml:space="preserve">    records = canonical_sort_and_encode(active, policy.schema)</w:t>
      </w:r>
    </w:p>
    <w:p>
      <w:pPr>
        <w:keepNext w:val="0"/>
        <w:keepLines/>
        <w:spacing w:after="0" w:line="240" w:lineRule="auto"/>
      </w:pPr>
      <w:r>
        <w:rPr>
          <w:rFonts w:ascii="DejaVu Sans Mono" w:hAnsi="DejaVu Sans Mono"/>
          <w:color w:val="000000"/>
          <w:sz w:val="17"/>
        </w:rPr>
        <w:t xml:space="preserve">    return records, semantic_sha256(records)</w:t>
      </w:r>
    </w:p>
    <w:p>
      <w:pPr>
        <w:pStyle w:val="Heading1"/>
      </w:pPr>
      <w:r>
        <w:rPr>
          <w:color w:val="000000"/>
        </w:rPr>
        <w:t>4  Quy mô dữ liệu và snapshot</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181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Giai đoạn</w:t>
            </w:r>
          </w:p>
        </w:tc>
        <w:tc>
          <w:tcPr>
            <w:tcW w:type="dxa" w:w="396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Quy mô</w:t>
            </w:r>
          </w:p>
        </w:tc>
        <w:tc>
          <w:tcPr>
            <w:tcW w:type="dxa" w:w="34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Quyết định</w:t>
            </w:r>
          </w:p>
        </w:tc>
      </w:tr>
      <w:tr>
        <w:trPr>
          <w:cantSplit/>
        </w:trPr>
        <w:tc>
          <w:tcPr>
            <w:tcW w:type="dxa" w:w="181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Stage A</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Khoảng 600–900 articles; 8–10 relation types; candidate 8–12 snapshots; ≥40 recurring panels nếu khả thi.</w:t>
            </w:r>
          </w:p>
        </w:tc>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Bắt đầu đủ nhỏ để kiểm tra quality, overlap, anchors, event density và QA survival.</w:t>
            </w:r>
          </w:p>
        </w:tc>
      </w:tr>
      <w:tr>
        <w:trPr>
          <w:cantSplit/>
        </w:trPr>
        <w:tc>
          <w:tcPr>
            <w:tcW w:type="dxa" w:w="181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Stage B</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Targeted scale-up; không có quota thẩm mỹ.</w:t>
            </w:r>
          </w:p>
        </w:tc>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Chỉ mở rộng nếu thiếu anchor, meaningful changes, QA coverage hoặc MDE không chấp nhận được.</w:t>
            </w:r>
          </w:p>
        </w:tc>
      </w:tr>
      <w:tr>
        <w:trPr>
          <w:cantSplit/>
        </w:trPr>
        <w:tc>
          <w:tcPr>
            <w:tcW w:type="dxa" w:w="181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Too ambitious</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1.200–1.800 articles hoặc nhiều relation chỉ vì số lượng.</w:t>
            </w:r>
          </w:p>
        </w:tc>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cam kết trước pilot; data bẩn làm tăng apparent drift và confounding.</w:t>
            </w:r>
          </w:p>
        </w:tc>
      </w:tr>
    </w:tbl>
    <w:p>
      <w:pPr>
        <w:pStyle w:val="Heading2"/>
      </w:pPr>
      <w:r>
        <w:rPr>
          <w:color w:val="000000"/>
        </w:rPr>
        <w:t>4 1  Thuật toán snapshot outcome blind</w:t>
      </w:r>
    </w:p>
    <w:p>
      <w:pPr>
        <w:pStyle w:val="ListNumber"/>
        <w:spacing w:after="40"/>
      </w:pPr>
      <w:r>
        <w:rPr>
          <w:color w:val="000000"/>
        </w:rPr>
        <w:t>Input: ordered evidence events, active-edge changes, entity persistence, candidate anchor support và QA-feasibility panel đã hash.</w:t>
      </w:r>
    </w:p>
    <w:p>
      <w:pPr>
        <w:pStyle w:val="ListNumber"/>
        <w:spacing w:after="40"/>
      </w:pPr>
      <w:r>
        <w:rPr>
          <w:color w:val="000000"/>
        </w:rPr>
        <w:t>Sinh candidate boundaries bằng cumulative evidence-event quantiles trong allowed S ∈ [8,12].</w:t>
      </w:r>
    </w:p>
    <w:p>
      <w:pPr>
        <w:pStyle w:val="ListNumber"/>
        <w:spacing w:after="40"/>
      </w:pPr>
      <w:r>
        <w:rPr>
          <w:color w:val="000000"/>
        </w:rPr>
        <w:t>Loại partition vi phạm hard temporal integrity hoặc có transition không đủ event/overlap/anchor feasibility theo pilot rule đã khóa.</w:t>
      </w:r>
    </w:p>
    <w:p>
      <w:pPr>
        <w:pStyle w:val="ListNumber"/>
        <w:spacing w:after="40"/>
      </w:pPr>
      <w:r>
        <w:rPr>
          <w:color w:val="000000"/>
        </w:rPr>
        <w:t>QA survival chỉ là feasibility constraint. Candidate panel phải được hash cuối tuần 3; không tối ưu boundary để giữ nhiều query nhất và không dùng nó làm tie-break.</w:t>
      </w:r>
    </w:p>
    <w:p>
      <w:pPr>
        <w:pStyle w:val="ListNumber"/>
        <w:spacing w:after="40"/>
      </w:pPr>
      <w:r>
        <w:rPr>
          <w:color w:val="000000"/>
        </w:rPr>
        <w:t>Trong các partition còn lại, chọn deterministic score dựa trên event balance và upstream feasibility; tie-break theo ít snapshot hơn, rồi lexicographic boundary IDs.</w:t>
      </w:r>
    </w:p>
    <w:p>
      <w:pPr>
        <w:pStyle w:val="ListNumber"/>
        <w:spacing w:after="40"/>
      </w:pPr>
      <w:r>
        <w:rPr>
          <w:color w:val="000000"/>
        </w:rPr>
        <w:t>Khóa S và boundaries cuối tuần 4, trước khi xem RR, MRR, H1 coefficient, SED magnitude, path gain hoặc auditor/QLoRA performance.</w:t>
      </w:r>
    </w:p>
    <w:p>
      <w:pPr>
        <w:pStyle w:val="Heading1"/>
      </w:pPr>
      <w:r>
        <w:rPr>
          <w:color w:val="000000"/>
        </w:rPr>
        <w:t>5  TransE L2</w:t>
      </w:r>
    </w:p>
    <w:p>
      <w:pPr>
        <w:jc w:val="center"/>
      </w:pPr>
      <m:oMathPara>
        <m:oMath>
          <m:r>
            <m:t>E(h,r,o) = </m:t>
          </m:r>
          <m:sSub>
            <m:e>
              <m:r>
                <m:t>‖h + r − o‖</m:t>
              </m:r>
            </m:e>
            <m:sub>
              <m:r>
                <m:t>2</m:t>
              </m:r>
            </m:sub>
          </m:sSub>
        </m:oMath>
      </m:oMathPara>
    </w:p>
    <w:p>
      <w:r>
        <w:rPr>
          <w:i w:val="0"/>
          <w:color w:val="000000"/>
        </w:rPr>
        <w:t>TransE được chọn như controlled representation backbone: hình học đủ rõ để căn chỉnh và kiểm tra, chi phí thấp trên T4, đồng thời không mở scope sang so sánh nhiều KGE architectures. Ba seed primary là 13, 37 và 101. Dimension d=32 hoặc d=64 được chọn qua pilot cuối tuần 2 theo procedure khóa trước; không được chọn dựa trên H1/locked-test outcomes.</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34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Khóa trước pilot</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Pilot được phép chọn</w:t>
            </w:r>
          </w:p>
        </w:tc>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Không được dùng để chọn</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Model=TransE; norm=L2; seed list; search space d∈{32,64}; metric và early-stop procedure.</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Dimension, batch/epoch budget và operating config ổn định nhất trong search space.</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H1 sign, locked MRR, SED magnitude hoặc path performance.</w:t>
            </w:r>
          </w:p>
        </w:tc>
      </w:tr>
    </w:tbl>
    <w:p>
      <w:pPr>
        <w:pStyle w:val="Heading1"/>
      </w:pPr>
      <w:r>
        <w:rPr>
          <w:color w:val="000000"/>
        </w:rPr>
        <w:t>6  Anchor và centered Orthogonal Procrustes</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Feature</w:t>
            </w:r>
          </w:p>
        </w:tc>
        <w:tc>
          <w:tcPr>
            <w:tcW w:type="dxa" w:w="198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Trạng thái</w:t>
            </w:r>
          </w:p>
        </w:tc>
        <w:tc>
          <w:tcPr>
            <w:tcW w:type="dxa" w:w="425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Lý do</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Persistence qua hai snapshot</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ALLOWED</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Điều kiện tồn tại để có vector ở cả hai endpoints.</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Stable canonical ID</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ALLOWED</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Bảo vệ entity identity.</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Pre-transition degree/frequency</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ALLOWED WITH CAUTION</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Chỉ dùng deterministic stratification, không chọn theo downstream outcome.</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Fact-change/replacement/retraction labels của transition</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FORBIDDEN</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Dùng chính thay đổi cần đo để định nghĩa stable frame gây circularity.</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Observed embedding drift</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FORBIDDEN</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Outcome leakage vào alignment reference.</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RR/MRR, QA outcomes, H1 coefficient</w:t>
            </w:r>
          </w:p>
        </w:tc>
        <w:tc>
          <w:tcPr>
            <w:tcW w:type="dxa" w:w="198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FORBIDDEN</w:t>
            </w:r>
          </w:p>
        </w:tc>
        <w:tc>
          <w:tcPr>
            <w:tcW w:type="dxa" w:w="425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Downstream outcome leakage.</w:t>
            </w:r>
          </w:p>
        </w:tc>
      </w:tr>
    </w:tbl>
    <w:p>
      <w:r>
        <w:rPr>
          <w:i w:val="0"/>
          <w:color w:val="000000"/>
        </w:rPr>
        <w:t>Anchor-fit và anchor-holdout là deterministic, disjoint và được hash. Counts được chọn trên pilot cuối tuần 3 dựa trên overlap/rank/holdout feasibility, không dùng một universal threshold. Alignment phải báo singular values, numerical rank, fit residual, holdout residual, gap và orthogonality error.</w:t>
      </w:r>
    </w:p>
    <w:p>
      <w:pPr>
        <w:jc w:val="center"/>
      </w:pPr>
      <m:oMathPara>
        <m:oMath>
          <m:sSup>
            <m:e>
              <m:r>
                <m:t>Q</m:t>
              </m:r>
            </m:e>
            <m:sup>
              <m:r>
                <m:t>*</m:t>
              </m:r>
            </m:sup>
          </m:sSup>
          <m:r>
            <m:t> = </m:t>
          </m:r>
          <m:sSub>
            <m:e>
              <m:r>
                <m:rPr>
                  <m:sty m:val="p"/>
                </m:rPr>
                <m:t>arg min</m:t>
              </m:r>
            </m:e>
            <m:sub>
              <m:sSup>
                <m:e>
                  <m:r>
                    <m:t>Q</m:t>
                  </m:r>
                </m:e>
                <m:sup>
                  <m:r>
                    <m:t>T</m:t>
                  </m:r>
                </m:sup>
              </m:sSup>
              <m:r>
                <m:t>Q = I</m:t>
              </m:r>
            </m:sub>
          </m:sSub>
          <m:r>
            <m:t> </m:t>
          </m:r>
          <m:sSup>
            <m:e>
              <m:sSub>
                <m:e>
                  <m:r>
                    <m:t>‖</m:t>
                  </m:r>
                  <m:sSub>
                    <m:e>
                      <m:r>
                        <m:t>X</m:t>
                      </m:r>
                    </m:e>
                    <m:sub>
                      <m:r>
                        <m:t>c</m:t>
                      </m:r>
                    </m:sub>
                  </m:sSub>
                  <m:r>
                    <m:t>Q − </m:t>
                  </m:r>
                  <m:sSub>
                    <m:e>
                      <m:r>
                        <m:t>Y</m:t>
                      </m:r>
                    </m:e>
                    <m:sub>
                      <m:r>
                        <m:t>c</m:t>
                      </m:r>
                    </m:sub>
                  </m:sSub>
                  <m:r>
                    <m:t>‖</m:t>
                  </m:r>
                </m:e>
                <m:sub>
                  <m:r>
                    <m:t>F</m:t>
                  </m:r>
                </m:sub>
              </m:sSub>
            </m:e>
            <m:sup>
              <m:r>
                <m:t>2</m:t>
              </m:r>
            </m:sup>
          </m:sSup>
        </m:oMath>
      </m:oMathPara>
    </w:p>
    <w:p>
      <w:r>
        <w:rPr>
          <w:i w:val="0"/>
          <w:color w:val="000000"/>
        </w:rPr>
        <w:t>Ánh xạ tọa độ đầy đủ là x′=(x−μprev)Q+μnext; quan hệ chỉ xoay r′=rQ. Quy ước drift kế thừa 1.2 và áp dụng ở 1.3 dùng zprev Q và znext với z=x−μfit, không dùng x′ đã cộng lại tâm. Nếu căn chỉnh không nhận dạng được, đánh dấu không khả dụng; Relative Landmark Drift chỉ được dùng qua đặc tả/pilot/amendment riêng.</w:t>
      </w:r>
    </w:p>
    <w:p>
      <w:pPr>
        <w:pStyle w:val="Heading1"/>
      </w:pPr>
      <w:r>
        <w:rPr>
          <w:color w:val="000000"/>
        </w:rPr>
        <w:t>7  Empirical null và ba đại lượng drift</w:t>
      </w:r>
    </w:p>
    <w:p>
      <w:r>
        <w:rPr>
          <w:i w:val="0"/>
          <w:color w:val="000000"/>
        </w:rPr>
        <w:t>Tại mỗi đầu chuyển tiếp, căn chỉnh ba cặp seed khác nhau rồi đo trên vector đã trừ tâm. Mỗi entity có n(e,g) là trung vị sáu khoảng cách qua hai đầu; bucket dùng bậc/tần suất trước chuyển tiếp và bỏ entity đích. Temporal displacement là trung vị ba cặp cùng seed. Chi tiết thao tác và trường hợp không khả dụng ở mục 10.</w:t>
      </w:r>
    </w:p>
    <w:p>
      <w:pPr>
        <w:jc w:val="center"/>
      </w:pPr>
      <m:oMathPara>
        <m:oMath>
          <m:sSub>
            <m:e>
              <m:r>
                <m:t>δ</m:t>
              </m:r>
            </m:e>
            <m:sub>
              <m:r>
                <m:rPr>
                  <m:sty m:val="p"/>
                </m:rPr>
                <m:t>time</m:t>
              </m:r>
            </m:sub>
          </m:sSub>
          <m:r>
            <m:t>(e,g) = </m:t>
          </m:r>
          <m:sSub>
            <m:e>
              <m:r>
                <m:rPr>
                  <m:sty m:val="p"/>
                </m:rPr>
                <m:t>median</m:t>
              </m:r>
            </m:e>
            <m:sub>
              <m:r>
                <m:t>s ∈ {13,37,101}</m:t>
              </m:r>
            </m:sub>
          </m:sSub>
          <m:r>
            <m:t>[1 − </m:t>
          </m:r>
          <m:r>
            <m:rPr>
              <m:sty m:val="p"/>
            </m:rPr>
            <m:t>cos</m:t>
          </m:r>
          <m:r>
            <m:t>(</m:t>
          </m:r>
          <m:sSub>
            <m:e>
              <m:r>
                <m:t>z</m:t>
              </m:r>
            </m:e>
            <m:sub>
              <m:r>
                <m:rPr>
                  <m:sty m:val="p"/>
                </m:rPr>
                <m:t>prev,</m:t>
              </m:r>
              <m:r>
                <m:t>s</m:t>
              </m:r>
            </m:sub>
          </m:sSub>
          <m:sSub>
            <m:e>
              <m:r>
                <m:t>Q</m:t>
              </m:r>
            </m:e>
            <m:sub>
              <m:r>
                <m:t>s</m:t>
              </m:r>
            </m:sub>
          </m:sSub>
          <m:r>
            <m:t>, </m:t>
          </m:r>
          <m:sSub>
            <m:e>
              <m:r>
                <m:t>z</m:t>
              </m:r>
            </m:e>
            <m:sub>
              <m:r>
                <m:rPr>
                  <m:sty m:val="p"/>
                </m:rPr>
                <m:t>next,</m:t>
              </m:r>
              <m:r>
                <m:t>s</m:t>
              </m:r>
            </m:sub>
          </m:sSub>
          <m:r>
            <m:t>)]</m:t>
          </m:r>
        </m:oMath>
      </m:oMathPara>
    </w:p>
    <w:p>
      <w:r>
        <w:rPr>
          <w:color w:val="000000"/>
        </w:rPr>
        <w:t>zprev = eprev − μprev,fit; znext = enext − μnext,fit.</w:t>
      </w:r>
    </w:p>
    <w:p>
      <w:r>
        <w:rPr>
          <w:color w:val="000000"/>
        </w:rPr>
        <w:t>Cosine chính dùng vector đã trừ tâm ở mỗi checkpoint.</w:t>
      </w:r>
    </w:p>
    <w:p>
      <w:pPr>
        <w:jc w:val="center"/>
      </w:pPr>
      <m:oMathPara>
        <m:oMath>
          <m:r>
            <m:t>r(e,g) = </m:t>
          </m:r>
          <m:sSub>
            <m:e>
              <m:r>
                <m:t>δ</m:t>
              </m:r>
            </m:e>
            <m:sub>
              <m:r>
                <m:rPr>
                  <m:sty m:val="p"/>
                </m:rPr>
                <m:t>time</m:t>
              </m:r>
            </m:sub>
          </m:sSub>
          <m:r>
            <m:t>(e,g) − </m:t>
          </m:r>
          <m:r>
            <m:rPr>
              <m:sty m:val="p"/>
            </m:rPr>
            <m:t>median</m:t>
          </m:r>
          <m:r>
            <m:t>(</m:t>
          </m:r>
          <m:sSub>
            <m:e>
              <m:r>
                <m:t>N</m:t>
              </m:r>
            </m:e>
            <m:sub>
              <m:r>
                <m:t>e,g</m:t>
              </m:r>
            </m:sub>
          </m:sSub>
          <m:r>
            <m:t>)</m:t>
          </m:r>
        </m:oMath>
      </m:oMathPara>
    </w:p>
    <w:p>
      <w:pPr/>
      <w:r>
        <w:t>N(e,g) ký hiệu tập tham chiếu trong bucket của e tại chuyển tiếp g, sau khi loại chính e; mỗi entity tham chiếu đóng góp một noise summary n. Các chỉ số checkpoint/seed trong z và Q được xác định theo cặp đang xét.</w:t>
      </w:r>
    </w:p>
    <w:p>
      <w:r>
        <w:rPr>
          <w:color w:val="000000"/>
        </w:rPr>
        <w:t>Signed raw excess; giá trị âm được giữ và báo.</w:t>
      </w:r>
    </w:p>
    <w:p>
      <w:pPr>
        <w:jc w:val="center"/>
      </w:pPr>
      <m:oMathPara>
        <m:oMath>
          <m:sSup>
            <m:e>
              <m:r>
                <m:rPr>
                  <m:sty m:val="p"/>
                </m:rPr>
                <m:t>SED</m:t>
              </m:r>
            </m:e>
            <m:sup>
              <m:r>
                <m:t>+</m:t>
              </m:r>
            </m:sup>
          </m:sSup>
          <m:r>
            <m:t>(e,g) = </m:t>
          </m:r>
          <m:f>
            <m:num>
              <m:r>
                <m:rPr>
                  <m:sty m:val="p"/>
                </m:rPr>
                <m:t>max</m:t>
              </m:r>
              <m:r>
                <m:t>(0,r(e,g))</m:t>
              </m:r>
            </m:num>
            <m:den>
              <m:r>
                <m:t>1.4826 · </m:t>
              </m:r>
              <m:r>
                <m:rPr>
                  <m:sty m:val="p"/>
                </m:rPr>
                <m:t>MAD</m:t>
              </m:r>
              <m:r>
                <m:t>(</m:t>
              </m:r>
              <m:sSub>
                <m:e>
                  <m:r>
                    <m:t>N</m:t>
                  </m:r>
                </m:e>
                <m:sub>
                  <m:r>
                    <m:t>e,g</m:t>
                  </m:r>
                </m:sub>
              </m:sSub>
              <m:r>
                <m:t>) + ε</m:t>
              </m:r>
            </m:den>
          </m:f>
        </m:oMath>
      </m:oMathPara>
    </w:p>
    <w:p>
      <w:r>
        <w:rPr>
          <w:color w:val="000000"/>
        </w:rPr>
        <w:t>Positive-part standardized excess theo protocol.</w:t>
      </w:r>
    </w:p>
    <w:p>
      <w:pPr>
        <w:pStyle w:val="ListBullet"/>
        <w:spacing w:after="40"/>
      </w:pPr>
      <w:r>
        <w:rPr>
          <w:color w:val="000000"/>
        </w:rPr>
        <w:t>1.4826 chỉ đưa MAD về Gaussian-reference scale; SED không phải Gaussian z-score.</w:t>
      </w:r>
    </w:p>
    <w:p>
      <w:pPr>
        <w:pStyle w:val="ListBullet"/>
        <w:spacing w:after="40"/>
      </w:pPr>
      <w:r>
        <w:rPr>
          <w:color w:val="000000"/>
        </w:rPr>
        <w:t>SED=0 nghĩa là displacement không vượt conditional null median theo operational definition; không có nghĩa entity không đổi trong thế giới.</w:t>
      </w:r>
    </w:p>
    <w:p>
      <w:pPr>
        <w:pStyle w:val="ListBullet"/>
        <w:spacing w:after="40"/>
      </w:pPr>
      <w:r>
        <w:rPr>
          <w:color w:val="000000"/>
        </w:rPr>
        <w:t>Phần vượt nhiễu có dấu được báo song song để thấy cao hơn hay thấp hơn mức nền, không phải hướng di chuyển trong không gian, và phát hiện nền lớn hơn dịch chuyển.</w:t>
      </w:r>
    </w:p>
    <w:p>
      <w:pPr>
        <w:pStyle w:val="ListBullet"/>
        <w:spacing w:after="40"/>
      </w:pPr>
      <w:r>
        <w:rPr>
          <w:color w:val="000000"/>
        </w:rPr>
        <w:t>ε chỉ là numerical guard được khóa từ pilot; nếu MAD vẫn suy biến sau bucket merge định trước, đánh dấu SED unavailable thay vì sinh giá trị cực đoan do ε.</w:t>
      </w:r>
    </w:p>
    <w:p>
      <w:pPr>
        <w:pStyle w:val="ListBullet"/>
        <w:spacing w:after="40"/>
      </w:pPr>
      <w:r>
        <w:rPr>
          <w:color w:val="000000"/>
        </w:rPr>
        <w:t>Sparse buckets được merge theo deterministic adjacency trên degree/frequency; không merge sau khi xem H1.</w:t>
      </w:r>
    </w:p>
    <w:p>
      <w:pPr>
        <w:keepNext/>
      </w:pPr>
      <w:r>
        <w:rPr>
          <w:b/>
          <w:color w:val="000000"/>
        </w:rPr>
        <w:t>Giả mã 2 — Alignment, null và drift</w:t>
      </w:r>
    </w:p>
    <w:p>
      <w:pPr>
        <w:spacing w:after="0" w:line="240" w:lineRule="auto"/>
      </w:pPr>
      <w:r>
        <w:rPr>
          <w:rFonts w:ascii="DejaVu Sans Mono" w:hAnsi="DejaVu Sans Mono"/>
          <w:color w:val="000000"/>
          <w:sz w:val="17"/>
        </w:rPr>
        <w:t>def pair_distance(E_old, E_new, fit, holdout):</w:t>
      </w:r>
    </w:p>
    <w:p>
      <w:pPr>
        <w:spacing w:after="0" w:line="240" w:lineRule="auto"/>
      </w:pPr>
      <w:r>
        <w:rPr>
          <w:rFonts w:ascii="DejaVu Sans Mono" w:hAnsi="DejaVu Sans Mono"/>
          <w:color w:val="000000"/>
          <w:sz w:val="17"/>
        </w:rPr>
        <w:t xml:space="preserve">    mu_old = mean(E_old[fit], axis=0)</w:t>
      </w:r>
    </w:p>
    <w:p>
      <w:pPr>
        <w:spacing w:after="0" w:line="240" w:lineRule="auto"/>
      </w:pPr>
      <w:r>
        <w:rPr>
          <w:rFonts w:ascii="DejaVu Sans Mono" w:hAnsi="DejaVu Sans Mono"/>
          <w:color w:val="000000"/>
          <w:sz w:val="17"/>
        </w:rPr>
        <w:t xml:space="preserve">    mu_new = mean(E_new[fit], axis=0)</w:t>
      </w:r>
    </w:p>
    <w:p>
      <w:pPr>
        <w:spacing w:after="0" w:line="240" w:lineRule="auto"/>
      </w:pPr>
      <w:r>
        <w:rPr>
          <w:rFonts w:ascii="DejaVu Sans Mono" w:hAnsi="DejaVu Sans Mono"/>
          <w:color w:val="000000"/>
          <w:sz w:val="17"/>
        </w:rPr>
        <w:t xml:space="preserve">    X, Y = E_old[fit]-mu_old, E_new[fit]-mu_new</w:t>
      </w:r>
    </w:p>
    <w:p>
      <w:pPr>
        <w:spacing w:after="0" w:line="240" w:lineRule="auto"/>
      </w:pPr>
      <w:r>
        <w:rPr>
          <w:rFonts w:ascii="DejaVu Sans Mono" w:hAnsi="DejaVu Sans Mono"/>
          <w:color w:val="000000"/>
          <w:sz w:val="17"/>
        </w:rPr>
        <w:t xml:space="preserve">    U, singular_values, Vt = svd(X.T @ Y)</w:t>
      </w:r>
    </w:p>
    <w:p>
      <w:pPr>
        <w:spacing w:after="0" w:line="240" w:lineRule="auto"/>
      </w:pPr>
      <w:r>
        <w:rPr>
          <w:rFonts w:ascii="DejaVu Sans Mono" w:hAnsi="DejaVu Sans Mono"/>
          <w:color w:val="000000"/>
          <w:sz w:val="17"/>
        </w:rPr>
        <w:t xml:space="preserve">    Q = U @ Vt</w:t>
      </w:r>
    </w:p>
    <w:p>
      <w:pPr>
        <w:spacing w:after="0" w:line="240" w:lineRule="auto"/>
      </w:pPr>
      <w:r>
        <w:rPr>
          <w:rFonts w:ascii="DejaVu Sans Mono" w:hAnsi="DejaVu Sans Mono"/>
          <w:color w:val="000000"/>
          <w:sz w:val="17"/>
        </w:rPr>
        <w:t xml:space="preserve">    validate_alignment(Q, singular_values, fit, holdout)</w:t>
      </w:r>
    </w:p>
    <w:p>
      <w:pPr>
        <w:spacing w:after="0" w:line="240" w:lineRule="auto"/>
      </w:pPr>
      <w:r>
        <w:rPr>
          <w:rFonts w:ascii="DejaVu Sans Mono" w:hAnsi="DejaVu Sans Mono"/>
          <w:color w:val="000000"/>
          <w:sz w:val="17"/>
        </w:rPr>
        <w:t xml:space="preserve">    z_old, z_new = E_old-mu_old, E_new-mu_new</w:t>
      </w:r>
    </w:p>
    <w:p>
      <w:pPr>
        <w:spacing w:after="0" w:line="240" w:lineRule="auto"/>
      </w:pPr>
      <w:r>
        <w:rPr>
          <w:rFonts w:ascii="DejaVu Sans Mono" w:hAnsi="DejaVu Sans Mono"/>
          <w:color w:val="000000"/>
          <w:sz w:val="17"/>
        </w:rPr>
        <w:t xml:space="preserve">    return cosine_distance_or_unavailable(z_old @ Q, z_new)</w:t>
      </w:r>
    </w:p>
    <w:p>
      <w:pPr>
        <w:spacing w:after="0" w:line="240" w:lineRule="auto"/>
      </w:pPr>
      <w:r>
        <w:rPr>
          <w:rFonts w:ascii="DejaVu Sans Mono" w:hAnsi="DejaVu Sans Mono"/>
          <w:color w:val="000000"/>
          <w:sz w:val="17"/>
        </w:rPr>
        <w:t># Run on three matched-seed temporal pairs.</w:t>
      </w:r>
    </w:p>
    <w:p>
      <w:pPr>
        <w:spacing w:after="0" w:line="240" w:lineRule="auto"/>
      </w:pPr>
      <w:r>
        <w:rPr>
          <w:rFonts w:ascii="DejaVu Sans Mono" w:hAnsi="DejaVu Sans Mono"/>
          <w:color w:val="000000"/>
          <w:sz w:val="17"/>
        </w:rPr>
        <w:t># delta_time = median of exactly three valid distances.</w:t>
      </w:r>
    </w:p>
    <w:p>
      <w:pPr>
        <w:spacing w:after="0" w:line="240" w:lineRule="auto"/>
      </w:pPr>
      <w:r>
        <w:rPr>
          <w:rFonts w:ascii="DejaVu Sans Mono" w:hAnsi="DejaVu Sans Mono"/>
          <w:color w:val="000000"/>
          <w:sz w:val="17"/>
        </w:rPr>
        <w:t># n_entity = median of six valid within-snapshot distances.</w:t>
      </w:r>
    </w:p>
    <w:p>
      <w:pPr>
        <w:spacing w:after="0" w:line="240" w:lineRule="auto"/>
      </w:pPr>
      <w:r>
        <w:rPr>
          <w:rFonts w:ascii="DejaVu Sans Mono" w:hAnsi="DejaVu Sans Mono"/>
          <w:color w:val="000000"/>
          <w:sz w:val="17"/>
        </w:rPr>
        <w:t># Reference bucket excludes the target entity itself.</w:t>
      </w:r>
    </w:p>
    <w:p>
      <w:pPr>
        <w:spacing w:after="0" w:line="240" w:lineRule="auto"/>
      </w:pPr>
      <w:r>
        <w:rPr>
          <w:rFonts w:ascii="DejaVu Sans Mono" w:hAnsi="DejaVu Sans Mono"/>
          <w:color w:val="000000"/>
          <w:sz w:val="17"/>
        </w:rPr>
        <w:t># Invalid required pair, zero norm or degenerate MAD -&gt; unavailable.</w:t>
      </w:r>
    </w:p>
    <w:p>
      <w:pPr>
        <w:pStyle w:val="Heading1"/>
      </w:pPr>
      <w:r>
        <w:rPr>
          <w:color w:val="000000"/>
        </w:rPr>
        <w:t>8  Query level drift và missing support</w:t>
      </w:r>
    </w:p>
    <w:p>
      <w:pPr>
        <w:jc w:val="center"/>
      </w:pPr>
      <m:oMathPara>
        <m:oMath>
          <m:r>
            <m:t>D(i,g) = </m:t>
          </m:r>
          <m:sSub>
            <m:e>
              <m:r>
                <m:rPr>
                  <m:sty m:val="p"/>
                </m:rPr>
                <m:t>median</m:t>
              </m:r>
            </m:e>
            <m:sub>
              <m:r>
                <m:t>e ∈ S(i,g)</m:t>
              </m:r>
            </m:sub>
          </m:sSub>
          <m:r>
            <m:t> </m:t>
          </m:r>
          <m:sSup>
            <m:e>
              <m:r>
                <m:rPr>
                  <m:sty m:val="p"/>
                </m:rPr>
                <m:t>SED</m:t>
              </m:r>
            </m:e>
            <m:sup>
              <m:r>
                <m:t>+</m:t>
              </m:r>
            </m:sup>
          </m:sSup>
          <m:r>
            <m:t>(e,g)</m:t>
          </m:r>
        </m:oMath>
      </m:oMathPara>
    </w:p>
    <w:p>
      <w:pPr/>
      <w:r>
        <w:t>S(i,g) là tập thực thể hỗ trợ duy nhất đã đăng ký cho query i tại chuyển tiếp g; mỗi thực thể chỉ đóng góp một lần.</w:t>
      </w:r>
    </w:p>
    <w:p>
      <w:r>
        <w:rPr>
          <w:i w:val="0"/>
          <w:color w:val="000000"/>
        </w:rPr>
        <w:t>Primary H1 dùng complete support only. Một query×transition row chỉ admissible khi mọi support entity đăng ký có canonical ID ổn định, tồn tại ở cả hai endpoints, có aligned representation, có conditional empirical null hợp lệ và có drift measurement. Mean và maximum chỉ là sensitivity; không dùng learned weighting.</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243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Reason code</w:t>
            </w:r>
          </w:p>
        </w:tc>
        <w:tc>
          <w:tcPr>
            <w:tcW w:type="dxa" w:w="345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Ý nghĩa</w:t>
            </w:r>
          </w:p>
        </w:tc>
        <w:tc>
          <w:tcPr>
            <w:tcW w:type="dxa" w:w="328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Xử lý</w:t>
            </w:r>
          </w:p>
        </w:tc>
      </w:tr>
      <w:tr>
        <w:trPr>
          <w:cantSplit/>
        </w:trPr>
        <w:tc>
          <w:tcPr>
            <w:tcW w:type="dxa" w:w="243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0"/>
              </w:rPr>
              <w:t>OOV_PREV / OOV_NEXT</w:t>
            </w:r>
          </w:p>
        </w:tc>
        <w:tc>
          <w:tcPr>
            <w:tcW w:type="dxa" w:w="345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Entity không có embedding ở một endpoint.</w:t>
            </w:r>
          </w:p>
        </w:tc>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Loại khỏi H1 primary; báo attrition; có thể thuộc H2 OOV diagnostic.</w:t>
            </w:r>
          </w:p>
        </w:tc>
      </w:tr>
      <w:tr>
        <w:trPr>
          <w:cantSplit/>
        </w:trPr>
        <w:tc>
          <w:tcPr>
            <w:tcW w:type="dxa" w:w="243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0"/>
              </w:rPr>
              <w:t>CANONICAL_ID_UNSTABLE</w:t>
            </w:r>
          </w:p>
        </w:tc>
        <w:tc>
          <w:tcPr>
            <w:tcW w:type="dxa" w:w="345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Mapping không ổn định hoặc merge/split chưa giải quyết.</w:t>
            </w:r>
          </w:p>
        </w:tc>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admissible; sửa mapping trước freeze nếu còn thời gian.</w:t>
            </w:r>
          </w:p>
        </w:tc>
      </w:tr>
      <w:tr>
        <w:trPr>
          <w:cantSplit/>
        </w:trPr>
        <w:tc>
          <w:tcPr>
            <w:tcW w:type="dxa" w:w="243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0"/>
              </w:rPr>
              <w:t>ALIGNMENT_UNAVAILABLE</w:t>
            </w:r>
          </w:p>
        </w:tc>
        <w:tc>
          <w:tcPr>
            <w:tcW w:type="dxa" w:w="345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Transition fail alignment diagnostics.</w:t>
            </w:r>
          </w:p>
        </w:tc>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tạo SED giả; dùng fallback/giảm claim.</w:t>
            </w:r>
          </w:p>
        </w:tc>
      </w:tr>
      <w:tr>
        <w:trPr>
          <w:cantSplit/>
        </w:trPr>
        <w:tc>
          <w:tcPr>
            <w:tcW w:type="dxa" w:w="243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0"/>
              </w:rPr>
              <w:t>NULL_UNAVAILABLE</w:t>
            </w:r>
          </w:p>
        </w:tc>
        <w:tc>
          <w:tcPr>
            <w:tcW w:type="dxa" w:w="345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Conditional null thiếu support hoặc MAD degenerate.</w:t>
            </w:r>
          </w:p>
        </w:tc>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Merge theo rule đã khóa; nếu vẫn fail, mark unavailable.</w:t>
            </w:r>
          </w:p>
        </w:tc>
      </w:tr>
      <w:tr>
        <w:trPr>
          <w:cantSplit/>
        </w:trPr>
        <w:tc>
          <w:tcPr>
            <w:tcW w:type="dxa" w:w="243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0"/>
              </w:rPr>
              <w:t>SUPPORT_FACT_MISSING</w:t>
            </w:r>
          </w:p>
        </w:tc>
        <w:tc>
          <w:tcPr>
            <w:tcW w:type="dxa" w:w="345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Gold/support set chưa đầy đủ tại cutoff.</w:t>
            </w:r>
          </w:p>
        </w:tc>
        <w:tc>
          <w:tcPr>
            <w:tcW w:type="dxa" w:w="328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Loại row; không tính drift trên phần đo được và giả là toàn bộ.</w:t>
            </w:r>
          </w:p>
        </w:tc>
      </w:tr>
    </w:tbl>
    <w:p>
      <w:pPr>
        <w:pStyle w:val="Heading1"/>
      </w:pPr>
      <w:r>
        <w:rPr>
          <w:color w:val="000000"/>
        </w:rPr>
        <w:t>9  Kiểm thử bắt buộc</w:t>
      </w:r>
    </w:p>
    <w:p>
      <w:pPr>
        <w:keepNext/>
      </w:pPr>
      <w:r>
        <w:rPr>
          <w:b/>
          <w:color w:val="000000"/>
        </w:rPr>
        <w:t>Các assertion quan trọng</w:t>
      </w:r>
    </w:p>
    <w:p>
      <w:pPr>
        <w:spacing w:after="0" w:line="240" w:lineRule="auto"/>
      </w:pPr>
      <w:r>
        <w:rPr>
          <w:rFonts w:ascii="DejaVu Sans Mono" w:hAnsi="DejaVu Sans Mono"/>
          <w:color w:val="000000"/>
          <w:sz w:val="17"/>
        </w:rPr>
        <w:t>assert no_future_evidence(snapshot, cutoff)</w:t>
      </w:r>
    </w:p>
    <w:p>
      <w:pPr>
        <w:spacing w:after="0" w:line="240" w:lineRule="auto"/>
      </w:pPr>
      <w:r>
        <w:rPr>
          <w:rFonts w:ascii="DejaVu Sans Mono" w:hAnsi="DejaVu Sans Mono"/>
          <w:color w:val="000000"/>
          <w:sz w:val="17"/>
        </w:rPr>
        <w:t>assert no_future_entity_mapping(snapshot, cutoff)</w:t>
      </w:r>
    </w:p>
    <w:p>
      <w:pPr>
        <w:spacing w:after="0" w:line="240" w:lineRule="auto"/>
      </w:pPr>
      <w:r>
        <w:rPr>
          <w:rFonts w:ascii="DejaVu Sans Mono" w:hAnsi="DejaVu Sans Mono"/>
          <w:color w:val="000000"/>
          <w:sz w:val="17"/>
        </w:rPr>
        <w:t>assert snapshot_reproducible(snapshot_id)</w:t>
      </w:r>
    </w:p>
    <w:p>
      <w:pPr>
        <w:spacing w:after="0" w:line="240" w:lineRule="auto"/>
      </w:pPr>
      <w:r>
        <w:rPr>
          <w:rFonts w:ascii="DejaVu Sans Mono" w:hAnsi="DejaVu Sans Mono"/>
          <w:color w:val="000000"/>
          <w:sz w:val="17"/>
        </w:rPr>
        <w:t>assert canonical_parquet_neo4j_parity(snapshot_id)</w:t>
      </w:r>
    </w:p>
    <w:p>
      <w:pPr>
        <w:spacing w:after="0" w:line="240" w:lineRule="auto"/>
      </w:pPr>
      <w:r>
        <w:rPr>
          <w:rFonts w:ascii="DejaVu Sans Mono" w:hAnsi="DejaVu Sans Mono"/>
          <w:color w:val="000000"/>
          <w:sz w:val="17"/>
        </w:rPr>
        <w:t>assert embeddings_finite(checkpoint)</w:t>
      </w:r>
    </w:p>
    <w:p>
      <w:pPr>
        <w:spacing w:after="0" w:line="240" w:lineRule="auto"/>
      </w:pPr>
      <w:r>
        <w:rPr>
          <w:rFonts w:ascii="DejaVu Sans Mono" w:hAnsi="DejaVu Sans Mono"/>
          <w:color w:val="000000"/>
          <w:sz w:val="17"/>
        </w:rPr>
        <w:t>assert procrustes_is_orthogonal(Q)</w:t>
      </w:r>
    </w:p>
    <w:p>
      <w:pPr>
        <w:spacing w:after="0" w:line="240" w:lineRule="auto"/>
      </w:pPr>
      <w:r>
        <w:rPr>
          <w:rFonts w:ascii="DejaVu Sans Mono" w:hAnsi="DejaVu Sans Mono"/>
          <w:color w:val="000000"/>
          <w:sz w:val="17"/>
        </w:rPr>
        <w:t>assert anchor_fit_holdout_disjoint()</w:t>
      </w:r>
    </w:p>
    <w:p>
      <w:pPr>
        <w:spacing w:after="0" w:line="240" w:lineRule="auto"/>
      </w:pPr>
      <w:r>
        <w:rPr>
          <w:rFonts w:ascii="DejaVu Sans Mono" w:hAnsi="DejaVu Sans Mono"/>
          <w:color w:val="000000"/>
          <w:sz w:val="17"/>
        </w:rPr>
        <w:t>assert alignment_holdout_diagnostics_exist()</w:t>
      </w:r>
    </w:p>
    <w:p>
      <w:pPr>
        <w:spacing w:after="0" w:line="240" w:lineRule="auto"/>
      </w:pPr>
      <w:r>
        <w:rPr>
          <w:rFonts w:ascii="DejaVu Sans Mono" w:hAnsi="DejaVu Sans Mono"/>
          <w:color w:val="000000"/>
          <w:sz w:val="17"/>
        </w:rPr>
        <w:t>assert null_excludes_target_entity_when_required()</w:t>
      </w:r>
    </w:p>
    <w:p>
      <w:pPr>
        <w:spacing w:after="0" w:line="240" w:lineRule="auto"/>
      </w:pPr>
      <w:r>
        <w:rPr>
          <w:rFonts w:ascii="DejaVu Sans Mono" w:hAnsi="DejaVu Sans Mono"/>
          <w:color w:val="000000"/>
          <w:sz w:val="17"/>
        </w:rPr>
        <w:t>assert no_nan_inf_in_drift_artifacts()</w:t>
      </w:r>
    </w:p>
    <w:p>
      <w:pPr>
        <w:spacing w:after="0" w:line="240" w:lineRule="auto"/>
      </w:pPr>
      <w:r>
        <w:rPr>
          <w:rFonts w:ascii="DejaVu Sans Mono" w:hAnsi="DejaVu Sans Mono"/>
          <w:color w:val="000000"/>
          <w:sz w:val="17"/>
        </w:rPr>
        <w:t>assert locked_test_not_accessed_before_freeze()</w:t>
      </w:r>
    </w:p>
    <w:p>
      <w:pPr>
        <w:pStyle w:val="Heading1"/>
      </w:pPr>
      <w:r>
        <w:rPr>
          <w:color w:val="000000"/>
        </w:rPr>
        <w:t>10 Quy ước đo drift kế thừa 1 2 và áp dụng trong 1 3</w:t>
      </w:r>
    </w:p>
    <w:p>
      <w:r>
        <w:rPr>
          <w:color w:val="000000"/>
        </w:rPr>
        <w:t>Quy ước mới làm rõ bất nhất giữa phần lời và Listing 2 của PDF nguồn. Drift chính dùng vector đã trừ tâm neo khớp riêng ở mỗi checkpoint. Procrustes được khớp trên các hàng tương ứng; cosine so sánh z_prev Q với z_next. Phép cộng lại tâm đích chỉ dùng khi cần biểu diễn phép ánh xạ tọa độ đầy đủ, không xuất hiện trong cosine drift chính.</w:t>
      </w:r>
    </w:p>
    <w:p>
      <w:r>
        <w:rPr>
          <w:color w:val="000000"/>
        </w:rPr>
        <w:t>Ghép thời gian theo cùng nhãn seed: (13,13), (37,37), (101,101). Khớp một Q riêng cho mỗi cặp. delta_time(e,g) là trung vị ba khoảng cách cosine đã trừ tâm. Dùng cùng seed không loại nhiễu; nó chỉ là quy tắc ghép được chọn trước. Không chọn cặp có khoảng cách nhỏ nhất hoặc kết quả H1 thuận lợi.</w:t>
      </w:r>
    </w:p>
    <w:p>
      <w:r>
        <w:rPr>
          <w:color w:val="000000"/>
        </w:rPr>
        <w:t>Tại mỗi đầu chuyển tiếp, dùng ba cặp seed không thứ tự (13,37), (13,101), (37,101), với hướng căn chỉnh seed nhỏ sang seed lớn. Tập neo của chuyển tiếp và phép chia fit/holdout được giữ nhất quán cho các cặp. n(e,g) là trung vị sáu khoảng cách cùng snapshot của entity qua hai đầu. Mỗi entity đóng góp một n(e,g) vào bucket; không coi sáu khoảng cách là sáu mẫu độc lập.</w:t>
      </w:r>
    </w:p>
    <w:p>
      <w:r>
        <w:rPr>
          <w:color w:val="000000"/>
        </w:rPr>
        <w:t>Bucket dựa trên bậc/tần suất tại đầu trước của chuyển tiếp. Khi tính nền cho entity e, loại n(e,g) của chính entity đó khỏi tập tham chiếu. Khoảng chia, số quan sát tối thiểu, thứ tự gộp bucket lân cận, sai số số học và ngưỡng MAD được khóa trên pilot trước khi xem H1. Quy tắc gộp dùng số lượng/hợp lệ, không dùng dấu outcome.</w:t>
      </w:r>
    </w:p>
    <w:p>
      <w:r>
        <w:rPr>
          <w:color w:val="000000"/>
        </w:rPr>
        <w:t>Với bucket sau loại đích, tính median, MAD, signed excess rồi SED⁺. Nếu một trong ba cặp temporal hoặc sáu cặp noise bắt buộc không hợp lệ, đánh dấu unavailable theo reason code; không tự tổng hợp trên số cặp ít hơn. Vector có chuẩn gần 0 sau trừ tâm nhận ZERO_NORM_AFTER_CENTERING; không ép cosine bằng 0 hoặc 1.</w:t>
      </w:r>
    </w:p>
    <w:p>
      <w:r>
        <w:rPr>
          <w:color w:val="000000"/>
        </w:rPr>
        <w:t>Vì delta_time gộp ba cặp và n gộp sáu cặp, nền này là đối chứng vận hành, không phải phân phối null chính xác cho kiểm định xác suất của delta_time. Báo rõ khác biệt độ phân tán do tổng hợp và kiểm tra độ nhạy theo seed; không suy ra p-value từ SED⁺. Mọi thay đổi cách tổng hợp phải có phiên bản mới và hiệu chỉnh lại pilot.</w:t>
      </w:r>
    </w:p>
    <w:p>
      <w:r>
        <w:rPr>
          <w:color w:val="000000"/>
        </w:rPr>
        <w:t>Neo không được giả định bất biến ngữ nghĩa. Ghi cờ entity thuộc fit/holdout và tỷ lệ support nằm trong fit để phát hiện mức co sai số do tham gia khớp; không thay neo sau khi nhìn drift. Dữ liệu đầu ra vẫn giữ cả raw, signed excess, SED⁺ và reason code.</w:t>
      </w:r>
    </w:p>
    <w:p>
      <w:r>
        <w:rPr>
          <w:color w:val="000000"/>
        </w:rPr>
        <w:t>Tổng hợp cuối: entity temporal median ba seed → entity SED⁺ → median trên unique support của query. Mỗi query×transition chỉ có một D; bảng chi tiết vẫn giữ các khoảng cách từng cặp. Phần outcome RR được gộp theo tài liệu 03. Các ngưỡng của bản dùng cosine cộng lại tâm không được tái dùng trực tiếp.</w:t>
      </w:r>
    </w:p>
    <w:p>
      <w:pPr>
        <w:pStyle w:val="Heading1"/>
      </w:pPr>
      <w:r>
        <w:rPr>
          <w:color w:val="000000"/>
        </w:rPr>
        <w:t>11 Hợp đồng đầu vào của nhánh đo drift</w:t>
      </w:r>
    </w:p>
    <w:p>
      <w:r>
        <w:rPr>
          <w:color w:val="000000"/>
        </w:rPr>
        <w:t>Chi tiết thu thập, trích xuất LLM, alias, thời gian, phân xử và kiểm tra dữ liệu được chuyển sang tài liệu 06; schema và module ở tài liệu 07. Nhánh drift chỉ đọc snapshot completed có cutoff, ontology/map hashes và provenance. Không đo từ tập bài theo tháng hoặc đồ thị Neo4j trộn nhiều mốc.</w:t>
      </w:r>
    </w:p>
    <w:p>
      <w:r>
        <w:rPr>
          <w:color w:val="000000"/>
        </w:rPr>
        <w:t>Cùng snapshot, mapping phải giống nhau qua seed; giữa snapshot, số hàng có thể khác nhưng ghép theo canonical ID. Entity mới không có vector ở đầu trước nhận OOV_PREV, không drift bằng 0. Merge/split chưa có đối chiếu hợp lệ nhận CANONICAL_ID_UNSTABLE. Negative sampling và lọc positive chỉ dùng tri thức admissible tại cutoff.</w:t>
      </w:r>
    </w:p>
    <w:p>
      <w:pPr>
        <w:pStyle w:val="Heading1"/>
      </w:pPr>
      <w:r>
        <w:rPr>
          <w:color w:val="000000"/>
        </w:rPr>
        <w:t>12 Vì sao cần căn chỉnh hệ tọa độ</w:t>
      </w:r>
    </w:p>
    <w:p>
      <w:r>
        <w:rPr>
          <w:color w:val="000000"/>
        </w:rPr>
        <w:t>Hai snapshot được huấn luyện độc lập đều dùng d chiều nhưng không tự cùng hệ quy chiếu. Ví dụ A=(1,0), B=(0,1), C=(−1,−1) ở lần đầu; lần sau A=(0,1), B=(−1,0), C=(1,−1). Toàn bộ cấu hình chỉ quay 90 độ. So A trực tiếp cho cosine distance 1 dù khoảng cách tương đối giữa các thực thể không đổi.</w:t>
      </w:r>
    </w:p>
    <w:p>
      <w:r>
        <w:rPr>
          <w:color w:val="000000"/>
        </w:rPr>
        <w:t>Với vector hàng và Q trực giao, chuẩn L2 của (h+r−o)Q bằng chuẩn của h+r−o. Xoay đồng thời entity và relation giữ nguyên năng lượng TransE. Procrustes khớp một Q chung từ các neo có hàng tương ứng; không chọn phép xoay riêng cho từng entity.</w:t>
      </w:r>
    </w:p>
    <w:p>
      <w:r>
        <w:rPr>
          <w:color w:val="000000"/>
        </w:rPr>
        <w:t>Trừ tâm neo mỗi phía tạo Xc và Yc; phân rã SVD của XcᵀYc cho U, Σ, Vᵀ và Q=UVᵀ. Phép trực giao có thể gồm phản chiếu, không co giãn tùy ý. Entity map đầy đủ có phần dịch tâm; relation chỉ xoay. Cosine chính dùng các vector đã trừ tâm theo mục 7 và 10.</w:t>
      </w:r>
    </w:p>
    <w:p>
      <w:r>
        <w:rPr>
          <w:color w:val="000000"/>
        </w:rPr>
        <w:t>Neo là tập tham chiếu, không mặc định bất biến ngữ nghĩa. Neo khớp có thể có residual nhỏ hơn do tham gia fit; phải lưu cờ membership và tỷ lệ support thuộc fit. Với n neo đã trừ tâm, hạng không vượt n−1; n≥d+1 chỉ là điều kiện cần để có hạng d, không bảo đảm đủ thông tin. Kiểm tra rank, singular values và holdout theo ngưỡng Dev.</w:t>
      </w:r>
    </w:p>
    <w:p>
      <w:r>
        <w:rPr>
          <w:color w:val="000000"/>
        </w:rPr>
        <w:t>Mỗi cặp checkpoint có Q riêng. So chuyển tiếp T1→T2 và T2→T3 không yêu cầu mọi snapshot cùng map về T1. Các phép map từng cặp không tự tạo một quỹ đạo toàn thời gian nhất quán. Nếu cần vẽ quỹ đạo toàn bộ, phải có giao thức hệ quy chiếu riêng; không ghép tọa độ pairwise như một không gian duy nhất.</w:t>
      </w:r>
    </w:p>
    <w:p>
      <w:pPr>
        <w:pStyle w:val="Heading1"/>
      </w:pPr>
      <w:r>
        <w:rPr>
          <w:color w:val="000000"/>
        </w:rPr>
        <w:t>13 Phép đo cosine và nền nhiễu có giới hạn gì</w:t>
      </w:r>
    </w:p>
    <w:p>
      <w:r>
        <w:rPr>
          <w:color w:val="000000"/>
        </w:rPr>
        <w:t>Cosine đo góc, nên (1,1) và (2,2) có distance 0 dù độ dài khác nhau. Vector gần tâm có chuẩn gần 0 phải được đánh dấu unavailable. Cộng lại tâm đích có thể đổi cosine; không dùng ngưỡng của quy ước restored-center cho phép đo centered mà không hiệu chỉnh lại.</w:t>
      </w:r>
    </w:p>
    <w:p>
      <w:r>
        <w:rPr>
          <w:color w:val="000000"/>
        </w:rPr>
        <w:t>Căn chỉnh không loại hết bất ổn tối ưu hóa. Ba seed cùng snapshot tạo đối chứng retraining. Temporal median ba cặp và noise median sáu cặp không có phân phối giống nhau được bảo đảm; baseline là tham chiếu vận hành. Các cặp chia sẻ checkpoint và các entity dùng chung mô hình, nên không đếm chúng như các thí nghiệm độc lập.</w:t>
      </w:r>
    </w:p>
    <w:p>
      <w:r>
        <w:rPr>
          <w:color w:val="000000"/>
        </w:rPr>
        <w:t>SED⁺ chuẩn hóa phần vượt trung vị nền; không phải p-value, xác suất, z-score chuẩn hoặc ước lượng thay đổi ngữ nghĩa thật. Hệ số 1.4826 là quy đổi theo tham chiếu Gaussian cho MAD, không chứng minh nhiễu Gaussian. Không chọn ngưỡng SED&gt;3 để tuyên bố ý nghĩa nếu chưa có kiểm định riêng hợp lệ.</w:t>
      </w:r>
    </w:p>
    <w:p>
      <w:pPr>
        <w:pStyle w:val="Heading1"/>
      </w:pPr>
      <w:r>
        <w:rPr>
          <w:color w:val="000000"/>
        </w:rPr>
        <w:t>14 Ví dụ tính và liên kết với câu hỏi</w:t>
      </w:r>
    </w:p>
    <w:p>
      <w:r>
        <w:rPr>
          <w:color w:val="000000"/>
        </w:rPr>
        <w:t>Ví dụ giả định: ba khoảng cách temporal là 0.18, 0.20, 0.23 nên delta_time=0.20. Bucket sau loại entity đích có năm noise summary 0.01, 0.02, 0.05, 0.08, 0.09; trung vị 0.05, MAD 0.03. Signed excess bằng 0.15; SED⁺ xấp xỉ 3.37 nếu epsilon rất nhỏ. Đây chỉ minh họa phép tính, không phải bucket đủ cỡ mẫu cho nghiên cứu.</w:t>
      </w:r>
    </w:p>
    <w:p>
      <w:r>
        <w:rPr>
          <w:color w:val="000000"/>
        </w:rPr>
        <w:t>Nếu delta_time=0.03 với cùng nền, signed excess=−0.02 và SED⁺=0. Số âm nói thấp hơn trung vị nền, không là hướng di chuyển âm; SED⁺=0 không chứng minh thực thể không đổi. Giữ cả ba đại lượng cùng reason code để kiểm tra hiệu chỉnh.</w:t>
      </w:r>
    </w:p>
    <w:p>
      <w:r>
        <w:rPr>
          <w:color w:val="000000"/>
        </w:rPr>
        <w:t>Query có support duy nhất A, B, C, D với SED⁺ lần lượt 0.5, 1.2, 2.0, 3.37 thì D=1.6. Tập support gồm head, trung gian và gold theo mọi đường đúng đã đăng ký; thiếu bất kỳ phép đo bắt buộc thì không tính H1 chính trên phần còn lại. RR là outcome của nhánh đánh giá, không nằm trong công thức SED.</w:t>
      </w:r>
    </w:p>
    <w:p>
      <w:r>
        <w:rPr>
          <w:color w:val="000000"/>
        </w:rPr>
        <w:t>Scorer TransE cộng các relation vector và xếp hạng đích; nó không truy cập trực tiếp mọi vector trung gian. Drift support là biến mô tả cấu trúc hỗ trợ và cần H1/pseudo kiểm chứng; không có định lý SED lớn chắc chắn làm RR giảm.</w:t>
      </w:r>
    </w:p>
    <w:p>
      <w:pPr>
        <w:pStyle w:val="Heading1"/>
      </w:pPr>
      <w:r>
        <w:rPr>
          <w:color w:val="000000"/>
        </w:rPr>
        <w:t>15 Tham chiếu kỹ thuật</w:t>
      </w:r>
    </w:p>
    <w:p>
      <w:pPr>
        <w:jc w:val="left"/>
      </w:pPr>
      <w:hyperlink r:id="rId13">
        <w:r>
          <w:rPr>
            <w:u w:val="single"/>
          </w:rPr>
          <w:t>TransE — bài báo gốc (2013)</w:t>
        </w:r>
      </w:hyperlink>
      <w:r>
        <w:br/>
      </w:r>
      <w:hyperlink r:id="rId14">
        <w:r>
          <w:rPr>
            <w:u w:val="single"/>
          </w:rPr>
          <w:t>SciPy — Orthogonal Procrustes</w:t>
        </w:r>
      </w:hyperlink>
      <w:r>
        <w:br/>
      </w:r>
      <w:hyperlink r:id="rId15">
        <w:r>
          <w:rPr>
            <w:u w:val="single"/>
          </w:rPr>
          <w:t>SciPy — Median Absolute Deviation</w:t>
        </w:r>
      </w:hyperlink>
      <w:r>
        <w:br/>
      </w:r>
      <w:r>
        <w:t>Các quy tắc seed, bucket và SED là thiết kế vận hành của dự án, không được suy từ tài liệu thư viện như một kiểm định đã chuẩn hóa.</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6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 w:id="1" w:author="Cập nhật ngữ cảnh 1.3" w:initials="V13" w:date="2026-09-17T09:07:46Z">
    <w:p>
      <w:pPr>
        <w:pStyle w:val="CommentText"/>
      </w:pPr>
      <w:r>
        <w:rPr>
          <w:rStyle w:val="CommentReference"/>
        </w:rPr>
        <w:annotationRef/>
      </w:r>
      <w:r>
        <w:t>Bổ sung 1.3 về dữ liệu, triển khai hoặc giới hạn; đối chiếu tài liệu 06 và 07 để áp dụng thống nhất.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 Id="rId13" Type="http://schemas.openxmlformats.org/officeDocument/2006/relationships/hyperlink" Target="https://papers.nips.cc/paper_files/paper/2013/hash/1cecc7a77928ca8133fa24680a88d2f9-Abstract.html" TargetMode="External"/><Relationship Id="rId14" Type="http://schemas.openxmlformats.org/officeDocument/2006/relationships/hyperlink" Target="https://docs.scipy.org/doc/scipy/reference/generated/scipy.linalg.orthogonal_procrustes.html" TargetMode="External"/><Relationship Id="rId15" Type="http://schemas.openxmlformats.org/officeDocument/2006/relationships/hyperlink" Target="https://docs.scipy.org/doc/scipy/reference/generated/scipy.stats.median_abs_devi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temporal và đo lường drift</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