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Párrafo por defecto para cliente - identification</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35,000.00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78787877</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Popular Dominicano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2,951.54</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35,770.00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405368320255, que tiene una superficie de </w:t>
      </w:r>
      <w:r>
        <w:rPr>
          <w:rFonts w:ascii="Cambria" w:hAnsi="Cambria"/>
          <w:b/>
          <w:bCs/>
          <w:i/>
          <w:iCs/>
          <w:color w:val="000000"/>
          <w:sz w:val="22"/>
          <w:szCs w:val="22"/>
          <w:shd w:fill="auto" w:val="clear"/>
        </w:rPr>
        <w:t xml:space="preserve">343.36</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4000390462</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4000390462</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