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8D44" w14:textId="77777777" w:rsidR="00893C7E" w:rsidRDefault="00000000">
      <w:pPr>
        <w:pStyle w:val="Ttulo"/>
        <w:spacing w:after="60"/>
      </w:pPr>
      <w:r>
        <w:t>Relatório de progresso</w:t>
      </w:r>
    </w:p>
    <w:p w14:paraId="4EC7300F" w14:textId="77777777" w:rsidR="00893C7E" w:rsidRDefault="00000000">
      <w:pPr>
        <w:spacing w:after="300"/>
      </w:pPr>
      <w:r>
        <w:rPr>
          <w:i/>
          <w:iCs/>
          <w:color w:val="555555"/>
          <w:sz w:val="24"/>
          <w:szCs w:val="24"/>
        </w:rPr>
        <w:t xml:space="preserve">Integração expressão renal × evolução molecular no sistema da creatina, e viabilização do pipeline </w:t>
      </w:r>
      <w:proofErr w:type="spellStart"/>
      <w:r>
        <w:rPr>
          <w:i/>
          <w:iCs/>
          <w:color w:val="555555"/>
          <w:sz w:val="24"/>
          <w:szCs w:val="24"/>
        </w:rPr>
        <w:t>TaxOnTree</w:t>
      </w:r>
      <w:proofErr w:type="spellEnd"/>
    </w:p>
    <w:p w14:paraId="6957A870" w14:textId="77777777" w:rsidR="00893C7E" w:rsidRDefault="00893C7E">
      <w:pPr>
        <w:pBdr>
          <w:bottom w:val="single" w:sz="6" w:space="1" w:color="999999"/>
        </w:pBdr>
        <w:spacing w:after="200"/>
      </w:pPr>
    </w:p>
    <w:p w14:paraId="62E5B098" w14:textId="77777777" w:rsidR="00893C7E" w:rsidRDefault="00000000">
      <w:pPr>
        <w:pStyle w:val="Ttulo1"/>
        <w:spacing w:before="300" w:after="150"/>
      </w:pPr>
      <w:r>
        <w:t>1. Objetivo desta rodada de trabalho</w:t>
      </w:r>
    </w:p>
    <w:p w14:paraId="20B4A43E" w14:textId="77777777" w:rsidR="00893C7E" w:rsidRDefault="00000000">
      <w:pPr>
        <w:spacing w:after="120"/>
      </w:pPr>
      <w:r>
        <w:t xml:space="preserve">O ponto de partida foi uma pergunta levantada em discussão: os dois estudos já produzidos no repositório (o </w:t>
      </w:r>
      <w:proofErr w:type="spellStart"/>
      <w:r>
        <w:t>paper</w:t>
      </w:r>
      <w:proofErr w:type="spellEnd"/>
      <w:r>
        <w:t xml:space="preserve"> de expressão gênica em doença renal, </w:t>
      </w:r>
      <w:proofErr w:type="spellStart"/>
      <w:r>
        <w:t>Nutrients</w:t>
      </w:r>
      <w:proofErr w:type="spellEnd"/>
      <w:r>
        <w:t xml:space="preserve"> 2025, e a análise evolutiva de GATM/SLC6A8) podiam ser conectados por um terceiro eixo: genes mais conservados evolutivamente também são os mais específicos ou consistentemente desregulados no rim? A partir daí, o trabalho seguiu três frentes, nesta ordem:</w:t>
      </w:r>
    </w:p>
    <w:p w14:paraId="4D0D9D03" w14:textId="77777777" w:rsidR="00893C7E" w:rsidRDefault="00000000">
      <w:pPr>
        <w:pStyle w:val="PargrafodaLista"/>
        <w:numPr>
          <w:ilvl w:val="0"/>
          <w:numId w:val="1"/>
        </w:numPr>
        <w:spacing w:after="60"/>
      </w:pPr>
      <w:r>
        <w:t>Auditoria dos dados e scripts já existentes no repositório, para saber com o que realmente podíamos contar.</w:t>
      </w:r>
    </w:p>
    <w:p w14:paraId="1E4D68AA" w14:textId="77777777" w:rsidR="00893C7E" w:rsidRDefault="00000000">
      <w:pPr>
        <w:pStyle w:val="PargrafodaLista"/>
        <w:numPr>
          <w:ilvl w:val="0"/>
          <w:numId w:val="1"/>
        </w:numPr>
        <w:spacing w:after="60"/>
      </w:pPr>
      <w:r>
        <w:t>Construção da tabela integrativa (especificidade tecidual × desregulação em doença) para os 17 genes, usando dados primários buscados de novo, não a prosa do README.</w:t>
      </w:r>
    </w:p>
    <w:p w14:paraId="1AB4FCCE" w14:textId="77777777" w:rsidR="00893C7E" w:rsidRDefault="00000000">
      <w:pPr>
        <w:pStyle w:val="PargrafodaLista"/>
        <w:numPr>
          <w:ilvl w:val="0"/>
          <w:numId w:val="1"/>
        </w:numPr>
        <w:spacing w:after="60"/>
      </w:pPr>
      <w:r>
        <w:t xml:space="preserve">Viabilização técnica do </w:t>
      </w:r>
      <w:proofErr w:type="spellStart"/>
      <w:r>
        <w:t>TaxOnTree</w:t>
      </w:r>
      <w:proofErr w:type="spellEnd"/>
      <w:r>
        <w:t>, para estender a análise evolutiva (hoje restrita a GATM e SLC6A8) aos outros 15 genes.</w:t>
      </w:r>
    </w:p>
    <w:p w14:paraId="2C532369" w14:textId="77777777" w:rsidR="00893C7E" w:rsidRDefault="00000000">
      <w:pPr>
        <w:pStyle w:val="Ttulo1"/>
        <w:spacing w:before="300" w:after="150"/>
      </w:pPr>
      <w:r>
        <w:t>2. Auditoria do repositório: o que encontramos</w:t>
      </w:r>
    </w:p>
    <w:p w14:paraId="0C822BF2" w14:textId="77777777" w:rsidR="00893C7E" w:rsidRDefault="00000000">
      <w:pPr>
        <w:spacing w:after="120"/>
      </w:pPr>
      <w:r>
        <w:t>Antes de gerar qualquer número novo, o primeiro passo foi conferir a origem de cada dado já presente no repositório. A razão é simples: parte do README mistura resultado analítico com texto gerado por IA (o próprio arquivo tem trechos marcados como "</w:t>
      </w:r>
      <w:proofErr w:type="spellStart"/>
      <w:r>
        <w:t>Summarized</w:t>
      </w:r>
      <w:proofErr w:type="spellEnd"/>
      <w:r>
        <w:t xml:space="preserve"> by </w:t>
      </w:r>
      <w:proofErr w:type="spellStart"/>
      <w:r>
        <w:t>Generative</w:t>
      </w:r>
      <w:proofErr w:type="spellEnd"/>
      <w:r>
        <w:t xml:space="preserve"> AI"), e sem separar isso do que é de fato dado primário, corremos o risco de citar como metodologia algo que nunca foi verificado quantitativamente. Essa checagem revelou três problemas.</w:t>
      </w:r>
    </w:p>
    <w:p w14:paraId="78DC8A40" w14:textId="77777777" w:rsidR="00893C7E" w:rsidRDefault="00000000">
      <w:pPr>
        <w:pStyle w:val="Ttulo3"/>
        <w:spacing w:before="200" w:after="100"/>
      </w:pPr>
      <w:r>
        <w:t>2.1. Trecho de prompt de IA vazado no README público</w:t>
      </w:r>
    </w:p>
    <w:p w14:paraId="3FB0A0F3" w14:textId="77777777" w:rsidR="00893C7E" w:rsidRDefault="00000000">
      <w:pPr>
        <w:spacing w:after="120"/>
      </w:pPr>
      <w:r>
        <w:t xml:space="preserve">No meio da seção de </w:t>
      </w:r>
      <w:proofErr w:type="spellStart"/>
      <w:r>
        <w:t>enrichment</w:t>
      </w:r>
      <w:proofErr w:type="spellEnd"/>
      <w:r>
        <w:t xml:space="preserve"> de Gene </w:t>
      </w:r>
      <w:proofErr w:type="spellStart"/>
      <w:r>
        <w:t>Ontology</w:t>
      </w:r>
      <w:proofErr w:type="spellEnd"/>
      <w:r>
        <w:t>, há uma frase fora de contexto: "</w:t>
      </w:r>
      <w:proofErr w:type="spellStart"/>
      <w:r>
        <w:t>Here</w:t>
      </w:r>
      <w:proofErr w:type="spellEnd"/>
      <w:r>
        <w:t xml:space="preserve"> is </w:t>
      </w:r>
      <w:proofErr w:type="spellStart"/>
      <w:r>
        <w:t>the</w:t>
      </w:r>
      <w:proofErr w:type="spellEnd"/>
      <w:r>
        <w:t xml:space="preserve"> gene </w:t>
      </w:r>
      <w:proofErr w:type="spellStart"/>
      <w:r>
        <w:t>table</w:t>
      </w:r>
      <w:proofErr w:type="spellEnd"/>
      <w:r>
        <w:t xml:space="preserve"> with </w:t>
      </w:r>
      <w:proofErr w:type="spellStart"/>
      <w:r>
        <w:t>DEs</w:t>
      </w:r>
      <w:proofErr w:type="spellEnd"/>
      <w:r>
        <w:t xml:space="preserve"> </w:t>
      </w:r>
      <w:proofErr w:type="spellStart"/>
      <w:r>
        <w:t>values</w:t>
      </w:r>
      <w:proofErr w:type="spellEnd"/>
      <w:r>
        <w:t xml:space="preserve">, </w:t>
      </w:r>
      <w:proofErr w:type="spellStart"/>
      <w:r>
        <w:t>when</w:t>
      </w:r>
      <w:proofErr w:type="spellEnd"/>
      <w:r>
        <w:t xml:space="preserve"> </w:t>
      </w:r>
      <w:proofErr w:type="spellStart"/>
      <w:r>
        <w:t>comparing</w:t>
      </w:r>
      <w:proofErr w:type="spellEnd"/>
      <w:r>
        <w:t xml:space="preserve"> Tumor x Normal samples. Give me </w:t>
      </w:r>
      <w:proofErr w:type="spellStart"/>
      <w:r>
        <w:t>the</w:t>
      </w:r>
      <w:proofErr w:type="spellEnd"/>
      <w:r>
        <w:t xml:space="preserve"> DE </w:t>
      </w:r>
      <w:proofErr w:type="spellStart"/>
      <w:r>
        <w:t>of</w:t>
      </w:r>
      <w:proofErr w:type="spellEnd"/>
      <w:r>
        <w:t xml:space="preserve"> </w:t>
      </w:r>
      <w:proofErr w:type="spellStart"/>
      <w:r>
        <w:t>the</w:t>
      </w:r>
      <w:proofErr w:type="spellEnd"/>
      <w:r>
        <w:t xml:space="preserve"> genes </w:t>
      </w:r>
      <w:proofErr w:type="spellStart"/>
      <w:r>
        <w:t>related</w:t>
      </w:r>
      <w:proofErr w:type="spellEnd"/>
      <w:r>
        <w:t xml:space="preserve"> </w:t>
      </w:r>
      <w:proofErr w:type="spellStart"/>
      <w:r>
        <w:t>to</w:t>
      </w:r>
      <w:proofErr w:type="spellEnd"/>
      <w:r>
        <w:t xml:space="preserve"> Creatine </w:t>
      </w:r>
      <w:proofErr w:type="spellStart"/>
      <w:r>
        <w:t>Metabolism</w:t>
      </w:r>
      <w:proofErr w:type="spellEnd"/>
      <w:r>
        <w:t>". É claramente um prompt colado sem querer durante a edição do arquivo. O problema não é o erro em si, e sim que esse README está publicado no GitHub e pode ser citado por engano como texto metodológico por quem não notar o trecho. Recomendo corrigir antes de qualquer submissão que referencie esse repositório.</w:t>
      </w:r>
    </w:p>
    <w:p w14:paraId="761B7319" w14:textId="77777777" w:rsidR="00893C7E" w:rsidRDefault="00000000">
      <w:pPr>
        <w:pStyle w:val="Ttulo3"/>
        <w:spacing w:before="200" w:after="100"/>
      </w:pPr>
      <w:r>
        <w:t xml:space="preserve">2.2. </w:t>
      </w:r>
      <w:proofErr w:type="spellStart"/>
      <w:r>
        <w:t>RNAseq.R</w:t>
      </w:r>
      <w:proofErr w:type="spellEnd"/>
      <w:r>
        <w:t xml:space="preserve"> não corresponde ao </w:t>
      </w:r>
      <w:proofErr w:type="spellStart"/>
      <w:r>
        <w:t>dataset</w:t>
      </w:r>
      <w:proofErr w:type="spellEnd"/>
      <w:r>
        <w:t xml:space="preserve"> que deveria documentar</w:t>
      </w:r>
    </w:p>
    <w:p w14:paraId="161B8AB5" w14:textId="77777777" w:rsidR="00893C7E" w:rsidRDefault="00000000">
      <w:pPr>
        <w:spacing w:after="120"/>
      </w:pPr>
      <w:r>
        <w:t xml:space="preserve">O script </w:t>
      </w:r>
      <w:proofErr w:type="spellStart"/>
      <w:r>
        <w:t>RNAseq.R</w:t>
      </w:r>
      <w:proofErr w:type="spellEnd"/>
      <w:r>
        <w:t xml:space="preserve"> deveria conter o código que gerou as figuras de fibrose e </w:t>
      </w:r>
      <w:proofErr w:type="spellStart"/>
      <w:r>
        <w:t>eGFR</w:t>
      </w:r>
      <w:proofErr w:type="spellEnd"/>
      <w:r>
        <w:t xml:space="preserve"> do README (</w:t>
      </w:r>
      <w:proofErr w:type="spellStart"/>
      <w:r>
        <w:t>dataset</w:t>
      </w:r>
      <w:proofErr w:type="spellEnd"/>
      <w:r>
        <w:t xml:space="preserve"> GSE137570, o estudo de Doyle et al. sobre CKD). Ao abrir o script, porém, ele é na verdade um script padrão gerado pela ferramenta GEO2R do NCBI para um </w:t>
      </w:r>
      <w:proofErr w:type="spellStart"/>
      <w:r>
        <w:t>dataset</w:t>
      </w:r>
      <w:proofErr w:type="spellEnd"/>
      <w:r>
        <w:t xml:space="preserve"> completamente diferente: GSE82291, um estudo de câncer, sem relação nenhuma com rim ou creatina. Isso significa que os cortes usados nas figuras do README (por exemplo "</w:t>
      </w:r>
      <w:proofErr w:type="spellStart"/>
      <w:r>
        <w:t>Fibrosis</w:t>
      </w:r>
      <w:proofErr w:type="spellEnd"/>
      <w:r>
        <w:t>&gt;50%" e "</w:t>
      </w:r>
      <w:proofErr w:type="spellStart"/>
      <w:r>
        <w:t>eGFR</w:t>
      </w:r>
      <w:proofErr w:type="spellEnd"/>
      <w:r>
        <w:t xml:space="preserve">&gt;50%") não têm como ser reproduzidos a partir do que está no repositório hoje: não sabemos se o corte foi na mediana, num tercil, num valor clínico de referência (como </w:t>
      </w:r>
      <w:proofErr w:type="spellStart"/>
      <w:r>
        <w:t>eGFR</w:t>
      </w:r>
      <w:proofErr w:type="spellEnd"/>
      <w:r>
        <w:t>=60, o limiar padrão de doença renal crônica estágio 3), ou outra escolha qualquer. Essa lacuna foi o motivo direto da decisão descrita a seguir, e detalhada com mais profundidade na seção 3.3.</w:t>
      </w:r>
    </w:p>
    <w:p w14:paraId="39A508B6" w14:textId="77777777" w:rsidR="00893C7E" w:rsidRDefault="00000000">
      <w:pPr>
        <w:pStyle w:val="Ttulo3"/>
        <w:spacing w:before="200" w:after="100"/>
      </w:pPr>
      <w:r>
        <w:t>2.3. Ausência de arquivo de ambiente</w:t>
      </w:r>
    </w:p>
    <w:p w14:paraId="0B4C087C" w14:textId="77777777" w:rsidR="00893C7E" w:rsidRDefault="00000000">
      <w:pPr>
        <w:spacing w:after="120"/>
      </w:pPr>
      <w:r>
        <w:t xml:space="preserve">Não há requirements.txt (Python), </w:t>
      </w:r>
      <w:proofErr w:type="spellStart"/>
      <w:r>
        <w:t>environment.yml</w:t>
      </w:r>
      <w:proofErr w:type="spellEnd"/>
      <w:r>
        <w:t xml:space="preserve"> (Conda) ou </w:t>
      </w:r>
      <w:proofErr w:type="spellStart"/>
      <w:proofErr w:type="gramStart"/>
      <w:r>
        <w:t>renv.lock</w:t>
      </w:r>
      <w:proofErr w:type="spellEnd"/>
      <w:proofErr w:type="gramEnd"/>
      <w:r>
        <w:t xml:space="preserve"> (R) no repositório. Os scripts R e Python existentes dependem de pacotes específicos (</w:t>
      </w:r>
      <w:proofErr w:type="spellStart"/>
      <w:r>
        <w:t>GEOquery</w:t>
      </w:r>
      <w:proofErr w:type="spellEnd"/>
      <w:r>
        <w:t xml:space="preserve">, </w:t>
      </w:r>
      <w:proofErr w:type="spellStart"/>
      <w:r>
        <w:t>limma</w:t>
      </w:r>
      <w:proofErr w:type="spellEnd"/>
      <w:r>
        <w:t xml:space="preserve">, </w:t>
      </w:r>
      <w:proofErr w:type="spellStart"/>
      <w:r>
        <w:t>pheatmap</w:t>
      </w:r>
      <w:proofErr w:type="spellEnd"/>
      <w:r>
        <w:t>, entre outros) sem nenhuma versão fixada. Isso é um risco de reprodutibilidade padrão em revisão por pares: um pacote pode mudar de comportamento entre versões, e sem saber qual versão foi usada originalmente, um revisor (ou nós mesmos, daqui a um ano) pode obter um resultado ligeiramente diferente ao tentar rodar os mesmos scripts.</w:t>
      </w:r>
    </w:p>
    <w:p w14:paraId="7EEE32C4" w14:textId="77777777" w:rsidR="00893C7E" w:rsidRDefault="00000000">
      <w:pPr>
        <w:spacing w:after="120"/>
      </w:pPr>
      <w:r>
        <w:t>A partir desses três achados, a decisão para as análises de fibrose e nefrosclerose (seção 3.3) foi não tentar adivinhar os critérios originais perdidos, e sim buscar os dados brutos de novo diretamente no GEO e aplicar um método com critério estatístico explícito, documentado neste relatório passo a passo.</w:t>
      </w:r>
    </w:p>
    <w:p w14:paraId="131E927A" w14:textId="77777777" w:rsidR="00893C7E" w:rsidRDefault="00000000">
      <w:pPr>
        <w:pStyle w:val="Ttulo1"/>
        <w:spacing w:before="300" w:after="150"/>
      </w:pPr>
      <w:r>
        <w:lastRenderedPageBreak/>
        <w:t>3. Construção da tabela integrativa</w:t>
      </w:r>
    </w:p>
    <w:p w14:paraId="16E5FCCF" w14:textId="3B71298A" w:rsidR="00893C7E" w:rsidRDefault="00000000">
      <w:pPr>
        <w:spacing w:after="120"/>
      </w:pPr>
      <w:r>
        <w:t xml:space="preserve">A ideia era montar, para os 17 genes relacionados à creatina já usados no primeiro </w:t>
      </w:r>
      <w:proofErr w:type="spellStart"/>
      <w:r>
        <w:t>paper</w:t>
      </w:r>
      <w:proofErr w:type="spellEnd"/>
      <w:r>
        <w:t>, três eixos independentes de evidência: (1) o quanto a expressão de cada gene é específica de um tecido em particular, (2) o quanto essa expressão muda de forma consistente entre diferentes estudos de doença renal, e (3) o que já existia de conservação evolutiva (hoje restrita a GATM e SLC6A8). A lógica por trás disso: se um gene aparece nos três eixos ao mesmo tempo, com direção e magnitude coerentes, é um candidato muito mais defensável para ancorar uma discussão integrativa do que um gene escolhido por impressão qualitativa da literatura. Cada eixo foi construído a partir de dados primários buscados diretamente das fontes públicas (</w:t>
      </w:r>
      <w:proofErr w:type="spellStart"/>
      <w:r>
        <w:t>GTEx</w:t>
      </w:r>
      <w:proofErr w:type="spellEnd"/>
      <w:r>
        <w:t>, GEO), não do README, pelos motivos descritos na seção 2.</w:t>
      </w:r>
    </w:p>
    <w:p w14:paraId="1020444E" w14:textId="77777777" w:rsidR="00893C7E" w:rsidRDefault="00000000">
      <w:pPr>
        <w:pStyle w:val="Ttulo2"/>
        <w:spacing w:before="250" w:after="120"/>
      </w:pPr>
      <w:r>
        <w:t xml:space="preserve">3.1. Especificidade tecidual (índice tau, </w:t>
      </w:r>
      <w:proofErr w:type="spellStart"/>
      <w:r>
        <w:t>GTEx</w:t>
      </w:r>
      <w:proofErr w:type="spellEnd"/>
      <w:r>
        <w:t xml:space="preserve"> v8)</w:t>
      </w:r>
    </w:p>
    <w:p w14:paraId="40E9132B" w14:textId="43BE37D9" w:rsidR="00893C7E" w:rsidRDefault="00335262">
      <w:pPr>
        <w:spacing w:after="120"/>
      </w:pPr>
      <w:r>
        <w:t>Por que</w:t>
      </w:r>
      <w:r w:rsidR="00000000">
        <w:t xml:space="preserve"> esse eixo: a pergunta que ele responde é "esse gene é ligado especificamente ao rim, ou é expresso de forma parecida em todo o corpo?". Um gene ubíquo (expresso igual em todo lugar) tem menos chance de explicar algo específico da fisiologia renal do que um gene cuja expressão é concentrada em poucos tecidos, entre eles o rim.</w:t>
      </w:r>
    </w:p>
    <w:p w14:paraId="48912041" w14:textId="77777777" w:rsidR="00893C7E" w:rsidRDefault="00000000">
      <w:pPr>
        <w:spacing w:after="120"/>
      </w:pPr>
      <w:r>
        <w:t xml:space="preserve">Por que não usei os gráficos que já estavam no repositório: os </w:t>
      </w:r>
      <w:proofErr w:type="spellStart"/>
      <w:r>
        <w:t>SVGs</w:t>
      </w:r>
      <w:proofErr w:type="spellEnd"/>
      <w:r>
        <w:t xml:space="preserve"> de </w:t>
      </w:r>
      <w:proofErr w:type="spellStart"/>
      <w:r>
        <w:t>heatmap</w:t>
      </w:r>
      <w:proofErr w:type="spellEnd"/>
      <w:r>
        <w:t xml:space="preserve"> do </w:t>
      </w:r>
      <w:proofErr w:type="spellStart"/>
      <w:r>
        <w:t>GTEx</w:t>
      </w:r>
      <w:proofErr w:type="spellEnd"/>
      <w:r>
        <w:t xml:space="preserve"> já presentes no repositório (</w:t>
      </w:r>
      <w:proofErr w:type="spellStart"/>
      <w:r>
        <w:t>GTex-AllTissue.svg</w:t>
      </w:r>
      <w:proofErr w:type="spellEnd"/>
      <w:r>
        <w:t xml:space="preserve">, </w:t>
      </w:r>
      <w:proofErr w:type="spellStart"/>
      <w:r>
        <w:t>GTex-Kidney.svg</w:t>
      </w:r>
      <w:proofErr w:type="spellEnd"/>
      <w:r>
        <w:t xml:space="preserve">) são apenas a imagem final exportada do portal do </w:t>
      </w:r>
      <w:proofErr w:type="spellStart"/>
      <w:r>
        <w:t>GTEx</w:t>
      </w:r>
      <w:proofErr w:type="spellEnd"/>
      <w:r>
        <w:t>. Abri o XML desses arquivos e conferi: a escala de cor usada é logarítmica, e os valores de TPM (</w:t>
      </w:r>
      <w:proofErr w:type="spellStart"/>
      <w:r>
        <w:t>transcripts</w:t>
      </w:r>
      <w:proofErr w:type="spellEnd"/>
      <w:r>
        <w:t xml:space="preserve"> per </w:t>
      </w:r>
      <w:proofErr w:type="spellStart"/>
      <w:r>
        <w:t>million</w:t>
      </w:r>
      <w:proofErr w:type="spellEnd"/>
      <w:r>
        <w:t xml:space="preserve">, a unidade padrão de expressão gênica normalizada) não estão embutidos em lugar nenhum do arquivo, só as posições dos retângulos coloridos. Ou seja, dava para ver visualmente "esse gene é mais expresso aqui", mas não dava para extrair um número confiável para calcular qualquer métrica. A alternativa correta era buscar os valores brutos direto da API pública do </w:t>
      </w:r>
      <w:proofErr w:type="spellStart"/>
      <w:r>
        <w:t>GTEx</w:t>
      </w:r>
      <w:proofErr w:type="spellEnd"/>
      <w:r>
        <w:t xml:space="preserve"> Portal, que devolve o TPM mediano exato por tecido para qualquer gene.</w:t>
      </w:r>
    </w:p>
    <w:p w14:paraId="028F29F8" w14:textId="17D62B1C" w:rsidR="00893C7E" w:rsidRDefault="00000000">
      <w:pPr>
        <w:spacing w:after="120"/>
      </w:pPr>
      <w:r>
        <w:t xml:space="preserve">O que foi feito e como o índice foi calculado: para os 17 genes, busquei o TPM mediano em cada um dos 54 tecidos catalogados pelo </w:t>
      </w:r>
      <w:proofErr w:type="spellStart"/>
      <w:r>
        <w:t>GTEx</w:t>
      </w:r>
      <w:proofErr w:type="spellEnd"/>
      <w:r>
        <w:t xml:space="preserve"> (release v8, a mesma versão de dados usada nas figuras já existentes no repositório, para manter consistência com o que já foi publicado). A partir desses 54 valores por gene, calculei o índice </w:t>
      </w:r>
      <w:r w:rsidR="00335262">
        <w:t>tau</w:t>
      </w:r>
      <w:r>
        <w:t xml:space="preserve"> (Yanai et al. 2005, </w:t>
      </w:r>
      <w:proofErr w:type="spellStart"/>
      <w:r>
        <w:t>Bioinformatics</w:t>
      </w:r>
      <w:proofErr w:type="spellEnd"/>
      <w:r>
        <w:t xml:space="preserve">), que é a </w:t>
      </w:r>
      <w:proofErr w:type="gramStart"/>
      <w:r>
        <w:t>métrica padrão</w:t>
      </w:r>
      <w:proofErr w:type="gramEnd"/>
      <w:r>
        <w:t xml:space="preserve"> da literatura para especificidade tecidual. A fórmula resume, para cada tecido, o quanto sua expressão fica abaixo da expressão máxima do gene entre todos os tecidos, e tira a média disso. Na prática: tau perto de 0 significa que o gene tem expressão parecida em todos os 54 tecidos (ubíquo); tau perto de 1 significa que a expressão está concentrada quase inteiramente em um único tecido (específico). Escolhi tau em vez de uma métrica mais simples, como "razão entre expressão no rim e a média geral", porque tau é padronizado na literatura de genômica comparativa, o que facilita comparar nossos números com os de outros estudos publicados.</w:t>
      </w:r>
    </w:p>
    <w:p w14:paraId="4949C617" w14:textId="77777777" w:rsidR="00893C7E" w:rsidRDefault="00000000">
      <w:pPr>
        <w:spacing w:after="120"/>
      </w:pPr>
      <w:r>
        <w:t xml:space="preserve">Achado que já chamou atenção nesse eixo: nenhum dos 17 genes tem o rim como tecido de expressão máxima (o tecido de pico de cada gene variou entre músculo, pâncreas, cérebro, entre outros). Isso não invalida a hipótese do primeiro </w:t>
      </w:r>
      <w:proofErr w:type="spellStart"/>
      <w:r>
        <w:t>paper</w:t>
      </w:r>
      <w:proofErr w:type="spellEnd"/>
      <w:r>
        <w:t>, mas é um resultado que precisa ser mencionado com cuidado na discussão: reforça que a relação desses genes com o rim não é do tipo "gene específico do rim", e sim algo mais sutil, provavelmente ligado à importância metabólica desses genes em condições específicas (hipóxia, disfunção renal) e não à sua expressão basal no órgão saudável.</w:t>
      </w:r>
    </w:p>
    <w:p w14:paraId="2E4146A3" w14:textId="77777777" w:rsidR="00893C7E" w:rsidRDefault="00000000">
      <w:pPr>
        <w:pStyle w:val="Ttulo2"/>
        <w:spacing w:before="250" w:after="120"/>
      </w:pPr>
      <w:r>
        <w:t>3.2. Consistência de desregulação em doença renal (transplante + carcinoma renal)</w:t>
      </w:r>
    </w:p>
    <w:p w14:paraId="193FA360" w14:textId="5E330EB2" w:rsidR="00893C7E" w:rsidRDefault="00000000">
      <w:pPr>
        <w:spacing w:after="120"/>
      </w:pPr>
      <w:r>
        <w:t xml:space="preserve">Por </w:t>
      </w:r>
      <w:r w:rsidR="00335262">
        <w:t>que</w:t>
      </w:r>
      <w:r>
        <w:t xml:space="preserve"> esse eixo: o índice tau da seção anterior descreve o gene em condição normal, saudável. Este segundo eixo pergunta uma coisa diferente: quando o rim adoece (rejeição de transplante, carcinoma), esse gene muda de expressão de forma consistente, ou o resultado varia de um estudo para o outro sem padrão? Um gene que muda na mesma direção em vários estudos independentes é uma evidência mais robusta do que um gene que aparece significativo em um único </w:t>
      </w:r>
      <w:proofErr w:type="spellStart"/>
      <w:r>
        <w:t>dataset</w:t>
      </w:r>
      <w:proofErr w:type="spellEnd"/>
      <w:r>
        <w:t>.</w:t>
      </w:r>
    </w:p>
    <w:p w14:paraId="396B4A48" w14:textId="67C7B587" w:rsidR="00893C7E" w:rsidRDefault="00000000">
      <w:pPr>
        <w:spacing w:after="120"/>
      </w:pPr>
      <w:r>
        <w:t xml:space="preserve">Por que usei os arquivos </w:t>
      </w:r>
      <w:proofErr w:type="spellStart"/>
      <w:r>
        <w:t>tsvs</w:t>
      </w:r>
      <w:proofErr w:type="spellEnd"/>
      <w:r>
        <w:t xml:space="preserve">/ do próprio repositório em vez de buscar fora: diferente da situação da fibrose e da nefrosclerose (seção 3.3), aqui o README descreve as comparações de transplante renal (GSE1563) e carcinoma renal (GSE6344), mas os valores exatos de log2FC (a mudança de expressão em escala logarítmica de base 2, o padrão para expressar diferença de expressão gênica) e do p-valor por gene já existiam como tabela bruta, gerada por </w:t>
      </w:r>
      <w:proofErr w:type="spellStart"/>
      <w:r>
        <w:t>limma</w:t>
      </w:r>
      <w:proofErr w:type="spellEnd"/>
      <w:r>
        <w:t xml:space="preserve"> (o pacote R padrão para expressão diferencial em microarranjos), dentro da pasta </w:t>
      </w:r>
      <w:proofErr w:type="spellStart"/>
      <w:r>
        <w:t>tsvs</w:t>
      </w:r>
      <w:proofErr w:type="spellEnd"/>
      <w:r>
        <w:t>/ do próprio repositório. Não havia motivo para buscar isso de novo fora do repositório, só processar corretamente o que já estava lá.</w:t>
      </w:r>
    </w:p>
    <w:p w14:paraId="640D6CAB" w14:textId="77777777" w:rsidR="00893C7E" w:rsidRDefault="00000000">
      <w:pPr>
        <w:spacing w:after="120"/>
      </w:pPr>
      <w:r>
        <w:t xml:space="preserve">O que foi feito: carreguei as 7 tabelas de expressão diferencial disponíveis (transplante bem-sucedido </w:t>
      </w:r>
      <w:proofErr w:type="spellStart"/>
      <w:r>
        <w:t>vs</w:t>
      </w:r>
      <w:proofErr w:type="spellEnd"/>
      <w:r>
        <w:t xml:space="preserve"> controle, transplante </w:t>
      </w:r>
      <w:proofErr w:type="spellStart"/>
      <w:r>
        <w:t>vs</w:t>
      </w:r>
      <w:proofErr w:type="spellEnd"/>
      <w:r>
        <w:t xml:space="preserve"> disfunção sem rejeição, rejeição aguda </w:t>
      </w:r>
      <w:proofErr w:type="spellStart"/>
      <w:r>
        <w:t>vs</w:t>
      </w:r>
      <w:proofErr w:type="spellEnd"/>
      <w:r>
        <w:t xml:space="preserve"> controle, rejeição aguda </w:t>
      </w:r>
      <w:proofErr w:type="spellStart"/>
      <w:r>
        <w:t>vs</w:t>
      </w:r>
      <w:proofErr w:type="spellEnd"/>
      <w:r>
        <w:t xml:space="preserve"> disfunção sem rejeição, rejeição aguda </w:t>
      </w:r>
      <w:proofErr w:type="spellStart"/>
      <w:r>
        <w:t>vs</w:t>
      </w:r>
      <w:proofErr w:type="spellEnd"/>
      <w:r>
        <w:t xml:space="preserve"> transplante bem-sucedido, tumor em Estágio 1 </w:t>
      </w:r>
      <w:proofErr w:type="spellStart"/>
      <w:r>
        <w:t>vs</w:t>
      </w:r>
      <w:proofErr w:type="spellEnd"/>
      <w:r>
        <w:t xml:space="preserve"> tecido normal, tumor em Estágio 2 </w:t>
      </w:r>
      <w:proofErr w:type="spellStart"/>
      <w:r>
        <w:t>vs</w:t>
      </w:r>
      <w:proofErr w:type="spellEnd"/>
      <w:r>
        <w:t xml:space="preserve"> tecido normal), filtrei cada uma para os 17 genes de interesse, e para cada gene contei em quantas dessas 7 comparações ele aparece como significativo, e em quantas dessas aparições a direção da mudança (aumento ou redução de expressão) se repete.</w:t>
      </w:r>
    </w:p>
    <w:p w14:paraId="720EC505" w14:textId="77777777" w:rsidR="00893C7E" w:rsidRDefault="00000000">
      <w:pPr>
        <w:spacing w:after="120"/>
      </w:pPr>
      <w:r>
        <w:t xml:space="preserve">Achado: GATM aparece como significativo em 5 das 7 comparações, mais que qualquer outro gene da lista, com 80% de consistência direcional (na maioria das vezes reprimido em condição de doença). CKM, CKMT1A, CKMT1B e SLC16A12 </w:t>
      </w:r>
      <w:r>
        <w:lastRenderedPageBreak/>
        <w:t xml:space="preserve">não aparecem em nenhuma das 7 comparações, mas isso é uma limitação de plataforma, não ausência real de desregulação: as sondas dos </w:t>
      </w:r>
      <w:proofErr w:type="spellStart"/>
      <w:r>
        <w:t>arrays</w:t>
      </w:r>
      <w:proofErr w:type="spellEnd"/>
      <w:r>
        <w:t xml:space="preserve"> </w:t>
      </w:r>
      <w:proofErr w:type="spellStart"/>
      <w:r>
        <w:t>Affymetrix</w:t>
      </w:r>
      <w:proofErr w:type="spellEnd"/>
      <w:r>
        <w:t xml:space="preserve"> usados nesses estudos (HG-U133A e HG-U95) simplesmente não cobrem esses genes especificamente, então eles nunca poderiam aparecer como significativos independentemente do que aconteça biologicamente.</w:t>
      </w:r>
    </w:p>
    <w:p w14:paraId="3BA9360C" w14:textId="77777777" w:rsidR="00893C7E" w:rsidRDefault="00000000">
      <w:pPr>
        <w:pStyle w:val="Ttulo2"/>
        <w:spacing w:before="250" w:after="120"/>
      </w:pPr>
      <w:r>
        <w:t>3.3. Nefrosclerose e fibrose/</w:t>
      </w:r>
      <w:proofErr w:type="spellStart"/>
      <w:r>
        <w:t>eGFR</w:t>
      </w:r>
      <w:proofErr w:type="spellEnd"/>
      <w:r>
        <w:t>: refeitas do zero</w:t>
      </w:r>
    </w:p>
    <w:p w14:paraId="658B2D1E" w14:textId="5936D2A4" w:rsidR="00893C7E" w:rsidRDefault="00000000">
      <w:pPr>
        <w:spacing w:after="120"/>
      </w:pPr>
      <w:r>
        <w:t xml:space="preserve">Por </w:t>
      </w:r>
      <w:r w:rsidR="00335262">
        <w:t>que</w:t>
      </w:r>
      <w:r>
        <w:t xml:space="preserve"> esse eixo precisou ser refeito, e não só reaproveitado: como descrito na seção 2, essas duas análises do README não têm tabela de dados brutos nem script reproduzível guardado no repositório. Refazer do zero era a única forma de ter um número com procedência clara para citar.</w:t>
      </w:r>
    </w:p>
    <w:p w14:paraId="274ED209" w14:textId="0C764913" w:rsidR="00893C7E" w:rsidRDefault="00000000">
      <w:pPr>
        <w:spacing w:after="120"/>
      </w:pPr>
      <w:r>
        <w:t>Nefrosclerose (</w:t>
      </w:r>
      <w:proofErr w:type="spellStart"/>
      <w:r>
        <w:t>dataset</w:t>
      </w:r>
      <w:proofErr w:type="spellEnd"/>
      <w:r>
        <w:t xml:space="preserve"> GDS3712, série GSE20602): esse é um estudo com biópsias de glomérulos de 14 pacientes com nefrosclerose (rim doente) contra 4 pacientes controle (rim de doadores tumor-livres). Usei o arquivo SOFT curado que o próprio GEO disponibiliza para esse </w:t>
      </w:r>
      <w:proofErr w:type="spellStart"/>
      <w:r>
        <w:t>dataset</w:t>
      </w:r>
      <w:proofErr w:type="spellEnd"/>
      <w:r>
        <w:t xml:space="preserve">, que já vem com o símbolo de cada gene mapeado à sonda correspondente, evitando qualquer erro de mapeamento manual. Para comparar as 14 amostras doentes contra </w:t>
      </w:r>
      <w:proofErr w:type="gramStart"/>
      <w:r>
        <w:t xml:space="preserve">as </w:t>
      </w:r>
      <w:r w:rsidR="00335262">
        <w:t>4 controles</w:t>
      </w:r>
      <w:proofErr w:type="gramEnd"/>
      <w:r>
        <w:t xml:space="preserve">, apliquei o teste t de </w:t>
      </w:r>
      <w:proofErr w:type="spellStart"/>
      <w:r>
        <w:t>Welch</w:t>
      </w:r>
      <w:proofErr w:type="spellEnd"/>
      <w:r>
        <w:t xml:space="preserve">, e não o teste t de Student comum, porque o teste de </w:t>
      </w:r>
      <w:proofErr w:type="spellStart"/>
      <w:r>
        <w:t>Welch</w:t>
      </w:r>
      <w:proofErr w:type="spellEnd"/>
      <w:r>
        <w:t xml:space="preserve"> não assume que os dois grupos tenham a mesma variância. Isso é importante aqui porque os grupos são de tamanhos muito diferentes (14 contra 4), e assumir variância igual num grupo tão pequeno quanto 4 amostras seria uma suposição arriscada e poderia gerar um p-valor artificialmente otimista. Como eu estava testando os 17 genes ao mesmo tempo (na prática, várias sondas por gene, totalizando 26 testes), apliquei a correção de </w:t>
      </w:r>
      <w:proofErr w:type="spellStart"/>
      <w:r>
        <w:t>Benjamini-Hochberg</w:t>
      </w:r>
      <w:proofErr w:type="spellEnd"/>
      <w:r>
        <w:t xml:space="preserve"> (controle da taxa de falsos positivos esperada, ou FDR) sobre esses 26 testes: sem essa correção, o simples fato de testar muitos genes ao mesmo tempo já produziria alguns "significativos" por puro acaso, mesmo que nenhum efeito real existisse. Resultado: GATM e SLC6A8 aparecem </w:t>
      </w:r>
      <w:proofErr w:type="spellStart"/>
      <w:r>
        <w:t>downregulados</w:t>
      </w:r>
      <w:proofErr w:type="spellEnd"/>
      <w:r>
        <w:t xml:space="preserve"> em nefrosclerose com </w:t>
      </w:r>
      <w:proofErr w:type="spellStart"/>
      <w:r>
        <w:t>padj</w:t>
      </w:r>
      <w:proofErr w:type="spellEnd"/>
      <w:r>
        <w:t xml:space="preserve"> &lt; 0,002 (ou seja, significativos mesmo depois da correção), o que bate com o que o README já descrevia qualitativamente, agora com números defensáveis.</w:t>
      </w:r>
    </w:p>
    <w:p w14:paraId="15DC5998" w14:textId="77777777" w:rsidR="00893C7E" w:rsidRDefault="00000000">
      <w:pPr>
        <w:spacing w:after="120"/>
      </w:pPr>
      <w:r>
        <w:t xml:space="preserve">Fibrose e </w:t>
      </w:r>
      <w:proofErr w:type="spellStart"/>
      <w:r>
        <w:t>eGFR</w:t>
      </w:r>
      <w:proofErr w:type="spellEnd"/>
      <w:r>
        <w:t xml:space="preserve"> (</w:t>
      </w:r>
      <w:proofErr w:type="spellStart"/>
      <w:r>
        <w:t>dataset</w:t>
      </w:r>
      <w:proofErr w:type="spellEnd"/>
      <w:r>
        <w:t xml:space="preserve"> GSE137570, Doyle et al.): esse estudo tem uma coorte de 24 pacientes com biópsia renal, para os quais dois dados clínicos contínuos foram registrados: o </w:t>
      </w:r>
      <w:proofErr w:type="spellStart"/>
      <w:r>
        <w:t>eGFR</w:t>
      </w:r>
      <w:proofErr w:type="spellEnd"/>
      <w:r>
        <w:t xml:space="preserve"> (taxa de filtração glomerular estimada, a principal medida de função renal usada na prática clínica) e o percentual de fibrose </w:t>
      </w:r>
      <w:proofErr w:type="spellStart"/>
      <w:r>
        <w:t>tubulointersticial</w:t>
      </w:r>
      <w:proofErr w:type="spellEnd"/>
      <w:r>
        <w:t xml:space="preserve"> observado na biópsia (a medida histológica de dano estrutural no rim). Como o README não descreve nenhum critério reproduzível de corte para essas variáveis (seção 2.2), a escolha foi calcular a correlação de </w:t>
      </w:r>
      <w:proofErr w:type="spellStart"/>
      <w:r>
        <w:t>Spearman</w:t>
      </w:r>
      <w:proofErr w:type="spellEnd"/>
      <w:r>
        <w:t xml:space="preserve"> entre a expressão de cada gene e cada uma dessas duas variáveis, tratando-as como contínuas, sem transformar em grupos.</w:t>
      </w:r>
    </w:p>
    <w:p w14:paraId="4165EA25" w14:textId="77777777" w:rsidR="00893C7E" w:rsidRDefault="00000000">
      <w:pPr>
        <w:spacing w:after="120"/>
      </w:pPr>
      <w:r>
        <w:rPr>
          <w:b/>
          <w:bCs/>
        </w:rPr>
        <w:t xml:space="preserve">O que é correlação de </w:t>
      </w:r>
      <w:proofErr w:type="spellStart"/>
      <w:r>
        <w:rPr>
          <w:b/>
          <w:bCs/>
        </w:rPr>
        <w:t>Spearman</w:t>
      </w:r>
      <w:proofErr w:type="spellEnd"/>
      <w:r>
        <w:rPr>
          <w:b/>
          <w:bCs/>
        </w:rPr>
        <w:t xml:space="preserve">, e por que essa e não outra: </w:t>
      </w:r>
      <w:r>
        <w:t xml:space="preserve">correlação de </w:t>
      </w:r>
      <w:proofErr w:type="spellStart"/>
      <w:r>
        <w:t>Spearman</w:t>
      </w:r>
      <w:proofErr w:type="spellEnd"/>
      <w:r>
        <w:t xml:space="preserve"> mede o quanto duas variáveis crescem ou decrescem juntas, sem exigir que essa relação seja uma linha reta (diferente da correlação de Pearson, que assume relação linear). Na prática, ela ordena os valores do menor para o maior em cada variável e verifica se as posições nos dois ranques coincidem: se, à medida que a expressão de um gene sobe, o </w:t>
      </w:r>
      <w:proofErr w:type="spellStart"/>
      <w:r>
        <w:t>eGFR</w:t>
      </w:r>
      <w:proofErr w:type="spellEnd"/>
      <w:r>
        <w:t xml:space="preserve"> sistematicamente sobe também (mesmo que não numa proporção fixa), o </w:t>
      </w:r>
      <w:proofErr w:type="spellStart"/>
      <w:r>
        <w:t>rho</w:t>
      </w:r>
      <w:proofErr w:type="spellEnd"/>
      <w:r>
        <w:t xml:space="preserve"> fica próximo de +1; se a relação for inversa, o </w:t>
      </w:r>
      <w:proofErr w:type="spellStart"/>
      <w:r>
        <w:t>rho</w:t>
      </w:r>
      <w:proofErr w:type="spellEnd"/>
      <w:r>
        <w:t xml:space="preserve"> fica próximo de -1; se não houver padrão, fica perto de 0. Preferi </w:t>
      </w:r>
      <w:proofErr w:type="spellStart"/>
      <w:r>
        <w:t>Spearman</w:t>
      </w:r>
      <w:proofErr w:type="spellEnd"/>
      <w:r>
        <w:t xml:space="preserve"> a Pearson por dois motivos concretos deste </w:t>
      </w:r>
      <w:proofErr w:type="spellStart"/>
      <w:r>
        <w:t>dataset</w:t>
      </w:r>
      <w:proofErr w:type="spellEnd"/>
      <w:r>
        <w:t xml:space="preserve">: primeiro, valores de fibrose e de contagem de expressão gênica costumam ter distribuição bem distante da normal, com valores concentrados numa ponta e uma cauda longa, o que viola a suposição da correlação de Pearson e pode distorcer o resultado; </w:t>
      </w:r>
      <w:proofErr w:type="gramStart"/>
      <w:r>
        <w:t xml:space="preserve">segundo, </w:t>
      </w:r>
      <w:proofErr w:type="spellStart"/>
      <w:r>
        <w:t>Spearman</w:t>
      </w:r>
      <w:proofErr w:type="spellEnd"/>
      <w:proofErr w:type="gramEnd"/>
      <w:r>
        <w:t xml:space="preserve"> é naturalmente mais resistente a valores extremos isolados (outliers), que são comuns em coortes clínicas pequenas como essa, de 24 pacientes.</w:t>
      </w:r>
    </w:p>
    <w:p w14:paraId="7DD463AE" w14:textId="77777777" w:rsidR="00893C7E" w:rsidRDefault="00000000">
      <w:pPr>
        <w:spacing w:after="120"/>
      </w:pPr>
      <w:r>
        <w:rPr>
          <w:b/>
          <w:bCs/>
        </w:rPr>
        <w:t xml:space="preserve">Por que usar correlação contínua em vez de dividir os pacientes em dois grupos (o que o README fazia originalmente): </w:t>
      </w:r>
      <w:r>
        <w:t xml:space="preserve">dividir uma variável contínua como </w:t>
      </w:r>
      <w:proofErr w:type="spellStart"/>
      <w:r>
        <w:t>eGFR</w:t>
      </w:r>
      <w:proofErr w:type="spellEnd"/>
      <w:r>
        <w:t xml:space="preserve"> em dois grupos (por exemplo, "acima de 50" e "abaixo de 50") joga fora informação: dois pacientes com </w:t>
      </w:r>
      <w:proofErr w:type="spellStart"/>
      <w:r>
        <w:t>eGFR</w:t>
      </w:r>
      <w:proofErr w:type="spellEnd"/>
      <w:r>
        <w:t xml:space="preserve"> 51 e </w:t>
      </w:r>
      <w:proofErr w:type="spellStart"/>
      <w:r>
        <w:t>eGFR</w:t>
      </w:r>
      <w:proofErr w:type="spellEnd"/>
      <w:r>
        <w:t xml:space="preserve"> 90 ficam no mesmo grupo, tratados como idênticos, quando na realidade têm situações clínicas bem diferentes. Isso reduz o poder estatístico do teste (a capacidade de detectar um efeito real que exista) e, mais grave neste caso, exige escolher onde exatamente cortar. Como não sabemos qual foi o critério original de corte usado no README (seção 2.2), qualquer valor que eu escolhesse para recriar esse corte seria uma decisão minha, não uma reprodução do método original, e diferentes escolhas de corte poderiam gerar conclusões diferentes sobre os mesmos dados. A correlação contínua evita esse problema por completo: não exige inventar um limiar, usa toda a informação disponível nos 24 pacientes, e o resultado é uma propriedade direta dos dados, não uma escolha metodológica meio arbitrária.</w:t>
      </w:r>
    </w:p>
    <w:p w14:paraId="58010D09" w14:textId="77777777" w:rsidR="00893C7E" w:rsidRDefault="00000000">
      <w:pPr>
        <w:spacing w:after="120"/>
      </w:pPr>
      <w:r>
        <w:t xml:space="preserve">Como no eixo anterior, apliquei correção de </w:t>
      </w:r>
      <w:proofErr w:type="spellStart"/>
      <w:r>
        <w:t>Benjamini-Hochberg</w:t>
      </w:r>
      <w:proofErr w:type="spellEnd"/>
      <w:r>
        <w:t xml:space="preserve"> (FDR) sobre os 17 testes de correlação contra fibrose e os 17 testes contra </w:t>
      </w:r>
      <w:proofErr w:type="spellStart"/>
      <w:r>
        <w:t>eGFR</w:t>
      </w:r>
      <w:proofErr w:type="spellEnd"/>
      <w:r>
        <w:t>, separadamente, pelo mesmo motivo: testar 17 genes ao mesmo tempo sem correção infla a chance de achar uma correlação "significativa" por acaso.</w:t>
      </w:r>
    </w:p>
    <w:p w14:paraId="3B5DF1CE" w14:textId="77777777" w:rsidR="00893C7E" w:rsidRDefault="00000000">
      <w:pPr>
        <w:spacing w:after="120"/>
      </w:pPr>
      <w:r>
        <w:t>Achado que não estava em nenhuma análise anterior do repositório: PSMB5 tem a correlação mais forte de todas com fibrose intersticial (</w:t>
      </w:r>
      <w:proofErr w:type="spellStart"/>
      <w:r>
        <w:t>rho</w:t>
      </w:r>
      <w:proofErr w:type="spellEnd"/>
      <w:r>
        <w:t xml:space="preserve"> = -0,72; </w:t>
      </w:r>
      <w:proofErr w:type="spellStart"/>
      <w:r>
        <w:t>padj</w:t>
      </w:r>
      <w:proofErr w:type="spellEnd"/>
      <w:r>
        <w:t xml:space="preserve"> = 0,001), ou seja, quanto mais fibrose, menor a expressão de PSMB5, e essa é a relação mais forte e mais estatisticamente robusta entre todos os 17 genes testados contra essa variável. É biologicamente plausível: o </w:t>
      </w:r>
      <w:proofErr w:type="spellStart"/>
      <w:r>
        <w:t>enrichment</w:t>
      </w:r>
      <w:proofErr w:type="spellEnd"/>
      <w:r>
        <w:t xml:space="preserve"> já presente no repositório havia apontado PSMB5 envolvido na regulação de estabilidade de PTEN e da via AKT, mas essa conexão específica com fibrose nunca tinha sido testada quantitativamente.</w:t>
      </w:r>
    </w:p>
    <w:p w14:paraId="1E123604" w14:textId="77777777" w:rsidR="00893C7E" w:rsidRDefault="00000000">
      <w:pPr>
        <w:pStyle w:val="Ttulo2"/>
        <w:spacing w:before="250" w:after="120"/>
      </w:pPr>
      <w:r>
        <w:lastRenderedPageBreak/>
        <w:t>3.4. Tabela integrada final</w:t>
      </w:r>
    </w:p>
    <w:p w14:paraId="3BAF0A8D" w14:textId="77777777" w:rsidR="00893C7E" w:rsidRDefault="00000000">
      <w:pPr>
        <w:spacing w:after="120"/>
      </w:pPr>
      <w:r>
        <w:t>Cruzando os três eixos, os genes com maior peso de evidência combinada (presentes nos 3 eixos simultaneamente) são:</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1300"/>
        <w:gridCol w:w="1300"/>
        <w:gridCol w:w="1400"/>
        <w:gridCol w:w="1400"/>
      </w:tblGrid>
      <w:tr w:rsidR="00893C7E" w14:paraId="0A9FF27C" w14:textId="77777777">
        <w:tblPrEx>
          <w:tblCellMar>
            <w:top w:w="0" w:type="dxa"/>
            <w:bottom w:w="0" w:type="dxa"/>
          </w:tblCellMar>
        </w:tblPrEx>
        <w:tc>
          <w:tcPr>
            <w:tcW w:w="1200" w:type="dxa"/>
            <w:shd w:val="clear" w:color="auto" w:fill="2E5B4F"/>
          </w:tcPr>
          <w:p w14:paraId="4534878F" w14:textId="77777777" w:rsidR="00893C7E" w:rsidRDefault="00000000">
            <w:r>
              <w:rPr>
                <w:b/>
                <w:bCs/>
                <w:color w:val="FFFFFF"/>
                <w:sz w:val="18"/>
                <w:szCs w:val="18"/>
              </w:rPr>
              <w:t>Gene</w:t>
            </w:r>
          </w:p>
        </w:tc>
        <w:tc>
          <w:tcPr>
            <w:tcW w:w="1300" w:type="dxa"/>
            <w:shd w:val="clear" w:color="auto" w:fill="2E5B4F"/>
          </w:tcPr>
          <w:p w14:paraId="0B41459B" w14:textId="77777777" w:rsidR="00893C7E" w:rsidRDefault="00000000">
            <w:r>
              <w:rPr>
                <w:b/>
                <w:bCs/>
                <w:color w:val="FFFFFF"/>
                <w:sz w:val="18"/>
                <w:szCs w:val="18"/>
              </w:rPr>
              <w:t>tau (</w:t>
            </w:r>
            <w:proofErr w:type="spellStart"/>
            <w:r>
              <w:rPr>
                <w:b/>
                <w:bCs/>
                <w:color w:val="FFFFFF"/>
                <w:sz w:val="18"/>
                <w:szCs w:val="18"/>
              </w:rPr>
              <w:t>GTEx</w:t>
            </w:r>
            <w:proofErr w:type="spellEnd"/>
            <w:r>
              <w:rPr>
                <w:b/>
                <w:bCs/>
                <w:color w:val="FFFFFF"/>
                <w:sz w:val="18"/>
                <w:szCs w:val="18"/>
              </w:rPr>
              <w:t>)</w:t>
            </w:r>
          </w:p>
        </w:tc>
        <w:tc>
          <w:tcPr>
            <w:tcW w:w="1300" w:type="dxa"/>
            <w:shd w:val="clear" w:color="auto" w:fill="2E5B4F"/>
          </w:tcPr>
          <w:p w14:paraId="6217F7D0" w14:textId="77777777" w:rsidR="00893C7E" w:rsidRDefault="00000000">
            <w:r>
              <w:rPr>
                <w:b/>
                <w:bCs/>
                <w:color w:val="FFFFFF"/>
                <w:sz w:val="18"/>
                <w:szCs w:val="18"/>
              </w:rPr>
              <w:t>% rank rim</w:t>
            </w:r>
          </w:p>
        </w:tc>
        <w:tc>
          <w:tcPr>
            <w:tcW w:w="1300" w:type="dxa"/>
            <w:shd w:val="clear" w:color="auto" w:fill="2E5B4F"/>
          </w:tcPr>
          <w:p w14:paraId="4C8AE2B8" w14:textId="77777777" w:rsidR="00893C7E" w:rsidRDefault="00000000">
            <w:r>
              <w:rPr>
                <w:b/>
                <w:bCs/>
                <w:color w:val="FFFFFF"/>
                <w:sz w:val="18"/>
                <w:szCs w:val="18"/>
              </w:rPr>
              <w:t xml:space="preserve">Eixos </w:t>
            </w:r>
            <w:proofErr w:type="spellStart"/>
            <w:r>
              <w:rPr>
                <w:b/>
                <w:bCs/>
                <w:color w:val="FFFFFF"/>
                <w:sz w:val="18"/>
                <w:szCs w:val="18"/>
              </w:rPr>
              <w:t>sig</w:t>
            </w:r>
            <w:proofErr w:type="spellEnd"/>
            <w:r>
              <w:rPr>
                <w:b/>
                <w:bCs/>
                <w:color w:val="FFFFFF"/>
                <w:sz w:val="18"/>
                <w:szCs w:val="18"/>
              </w:rPr>
              <w:t>.</w:t>
            </w:r>
          </w:p>
        </w:tc>
        <w:tc>
          <w:tcPr>
            <w:tcW w:w="1400" w:type="dxa"/>
            <w:shd w:val="clear" w:color="auto" w:fill="2E5B4F"/>
          </w:tcPr>
          <w:p w14:paraId="072885DD" w14:textId="77777777" w:rsidR="00893C7E" w:rsidRDefault="00000000">
            <w:proofErr w:type="spellStart"/>
            <w:r>
              <w:rPr>
                <w:b/>
                <w:bCs/>
                <w:color w:val="FFFFFF"/>
                <w:sz w:val="18"/>
                <w:szCs w:val="18"/>
              </w:rPr>
              <w:t>rho</w:t>
            </w:r>
            <w:proofErr w:type="spellEnd"/>
            <w:r>
              <w:rPr>
                <w:b/>
                <w:bCs/>
                <w:color w:val="FFFFFF"/>
                <w:sz w:val="18"/>
                <w:szCs w:val="18"/>
              </w:rPr>
              <w:t xml:space="preserve"> fibrose</w:t>
            </w:r>
          </w:p>
        </w:tc>
        <w:tc>
          <w:tcPr>
            <w:tcW w:w="1400" w:type="dxa"/>
            <w:shd w:val="clear" w:color="auto" w:fill="2E5B4F"/>
          </w:tcPr>
          <w:p w14:paraId="38A41AAB" w14:textId="77777777" w:rsidR="00893C7E" w:rsidRDefault="00000000">
            <w:proofErr w:type="spellStart"/>
            <w:r>
              <w:rPr>
                <w:b/>
                <w:bCs/>
                <w:color w:val="FFFFFF"/>
                <w:sz w:val="18"/>
                <w:szCs w:val="18"/>
              </w:rPr>
              <w:t>padj</w:t>
            </w:r>
            <w:proofErr w:type="spellEnd"/>
            <w:r>
              <w:rPr>
                <w:b/>
                <w:bCs/>
                <w:color w:val="FFFFFF"/>
                <w:sz w:val="18"/>
                <w:szCs w:val="18"/>
              </w:rPr>
              <w:t xml:space="preserve"> fibrose</w:t>
            </w:r>
          </w:p>
        </w:tc>
      </w:tr>
      <w:tr w:rsidR="00893C7E" w14:paraId="763616C3" w14:textId="77777777">
        <w:tblPrEx>
          <w:tblCellMar>
            <w:top w:w="0" w:type="dxa"/>
            <w:bottom w:w="0" w:type="dxa"/>
          </w:tblCellMar>
        </w:tblPrEx>
        <w:tc>
          <w:tcPr>
            <w:tcW w:w="1200" w:type="dxa"/>
          </w:tcPr>
          <w:p w14:paraId="352622CA" w14:textId="77777777" w:rsidR="00893C7E" w:rsidRDefault="00000000">
            <w:r>
              <w:rPr>
                <w:sz w:val="18"/>
                <w:szCs w:val="18"/>
              </w:rPr>
              <w:t>GATM</w:t>
            </w:r>
          </w:p>
        </w:tc>
        <w:tc>
          <w:tcPr>
            <w:tcW w:w="1300" w:type="dxa"/>
          </w:tcPr>
          <w:p w14:paraId="13116B83" w14:textId="77777777" w:rsidR="00893C7E" w:rsidRDefault="00000000">
            <w:r>
              <w:rPr>
                <w:sz w:val="18"/>
                <w:szCs w:val="18"/>
              </w:rPr>
              <w:t>0.92</w:t>
            </w:r>
          </w:p>
        </w:tc>
        <w:tc>
          <w:tcPr>
            <w:tcW w:w="1300" w:type="dxa"/>
          </w:tcPr>
          <w:p w14:paraId="1E56490C" w14:textId="77777777" w:rsidR="00893C7E" w:rsidRDefault="00000000">
            <w:r>
              <w:rPr>
                <w:sz w:val="18"/>
                <w:szCs w:val="18"/>
              </w:rPr>
              <w:t>87%</w:t>
            </w:r>
          </w:p>
        </w:tc>
        <w:tc>
          <w:tcPr>
            <w:tcW w:w="1300" w:type="dxa"/>
          </w:tcPr>
          <w:p w14:paraId="6F3D1DA2" w14:textId="77777777" w:rsidR="00893C7E" w:rsidRDefault="00000000">
            <w:r>
              <w:rPr>
                <w:sz w:val="18"/>
                <w:szCs w:val="18"/>
              </w:rPr>
              <w:t>3/3</w:t>
            </w:r>
          </w:p>
        </w:tc>
        <w:tc>
          <w:tcPr>
            <w:tcW w:w="1400" w:type="dxa"/>
          </w:tcPr>
          <w:p w14:paraId="16A6CC9C" w14:textId="77777777" w:rsidR="00893C7E" w:rsidRDefault="00000000">
            <w:r>
              <w:rPr>
                <w:sz w:val="18"/>
                <w:szCs w:val="18"/>
              </w:rPr>
              <w:t>-0.53</w:t>
            </w:r>
          </w:p>
        </w:tc>
        <w:tc>
          <w:tcPr>
            <w:tcW w:w="1400" w:type="dxa"/>
          </w:tcPr>
          <w:p w14:paraId="180440C9" w14:textId="77777777" w:rsidR="00893C7E" w:rsidRDefault="00000000">
            <w:r>
              <w:rPr>
                <w:sz w:val="18"/>
                <w:szCs w:val="18"/>
              </w:rPr>
              <w:t>0.025</w:t>
            </w:r>
          </w:p>
        </w:tc>
      </w:tr>
      <w:tr w:rsidR="00893C7E" w14:paraId="5178A66C" w14:textId="77777777">
        <w:tblPrEx>
          <w:tblCellMar>
            <w:top w:w="0" w:type="dxa"/>
            <w:bottom w:w="0" w:type="dxa"/>
          </w:tblCellMar>
        </w:tblPrEx>
        <w:tc>
          <w:tcPr>
            <w:tcW w:w="1200" w:type="dxa"/>
          </w:tcPr>
          <w:p w14:paraId="14143C71" w14:textId="77777777" w:rsidR="00893C7E" w:rsidRDefault="00000000">
            <w:r>
              <w:rPr>
                <w:sz w:val="18"/>
                <w:szCs w:val="18"/>
              </w:rPr>
              <w:t>PSMB5</w:t>
            </w:r>
          </w:p>
        </w:tc>
        <w:tc>
          <w:tcPr>
            <w:tcW w:w="1300" w:type="dxa"/>
          </w:tcPr>
          <w:p w14:paraId="675F696E" w14:textId="77777777" w:rsidR="00893C7E" w:rsidRDefault="00000000">
            <w:r>
              <w:rPr>
                <w:sz w:val="18"/>
                <w:szCs w:val="18"/>
              </w:rPr>
              <w:t>0.60</w:t>
            </w:r>
          </w:p>
        </w:tc>
        <w:tc>
          <w:tcPr>
            <w:tcW w:w="1300" w:type="dxa"/>
          </w:tcPr>
          <w:p w14:paraId="525C8B82" w14:textId="77777777" w:rsidR="00893C7E" w:rsidRDefault="00000000">
            <w:r>
              <w:rPr>
                <w:sz w:val="18"/>
                <w:szCs w:val="18"/>
              </w:rPr>
              <w:t>26%</w:t>
            </w:r>
          </w:p>
        </w:tc>
        <w:tc>
          <w:tcPr>
            <w:tcW w:w="1300" w:type="dxa"/>
          </w:tcPr>
          <w:p w14:paraId="4360DF4E" w14:textId="77777777" w:rsidR="00893C7E" w:rsidRDefault="00000000">
            <w:r>
              <w:rPr>
                <w:sz w:val="18"/>
                <w:szCs w:val="18"/>
              </w:rPr>
              <w:t>3/3</w:t>
            </w:r>
          </w:p>
        </w:tc>
        <w:tc>
          <w:tcPr>
            <w:tcW w:w="1400" w:type="dxa"/>
          </w:tcPr>
          <w:p w14:paraId="76638E72" w14:textId="77777777" w:rsidR="00893C7E" w:rsidRDefault="00000000">
            <w:r>
              <w:rPr>
                <w:sz w:val="18"/>
                <w:szCs w:val="18"/>
              </w:rPr>
              <w:t>-0.72</w:t>
            </w:r>
          </w:p>
        </w:tc>
        <w:tc>
          <w:tcPr>
            <w:tcW w:w="1400" w:type="dxa"/>
          </w:tcPr>
          <w:p w14:paraId="645CA6D2" w14:textId="77777777" w:rsidR="00893C7E" w:rsidRDefault="00000000">
            <w:r>
              <w:rPr>
                <w:sz w:val="18"/>
                <w:szCs w:val="18"/>
              </w:rPr>
              <w:t>0.001</w:t>
            </w:r>
          </w:p>
        </w:tc>
      </w:tr>
      <w:tr w:rsidR="00893C7E" w14:paraId="3CE43CA7" w14:textId="77777777">
        <w:tblPrEx>
          <w:tblCellMar>
            <w:top w:w="0" w:type="dxa"/>
            <w:bottom w:w="0" w:type="dxa"/>
          </w:tblCellMar>
        </w:tblPrEx>
        <w:tc>
          <w:tcPr>
            <w:tcW w:w="1200" w:type="dxa"/>
          </w:tcPr>
          <w:p w14:paraId="1C9558CD" w14:textId="77777777" w:rsidR="00893C7E" w:rsidRDefault="00000000">
            <w:r>
              <w:rPr>
                <w:sz w:val="18"/>
                <w:szCs w:val="18"/>
              </w:rPr>
              <w:t>SLC6A8</w:t>
            </w:r>
          </w:p>
        </w:tc>
        <w:tc>
          <w:tcPr>
            <w:tcW w:w="1300" w:type="dxa"/>
          </w:tcPr>
          <w:p w14:paraId="287C629A" w14:textId="77777777" w:rsidR="00893C7E" w:rsidRDefault="00000000">
            <w:r>
              <w:rPr>
                <w:sz w:val="18"/>
                <w:szCs w:val="18"/>
              </w:rPr>
              <w:t>0.58</w:t>
            </w:r>
          </w:p>
        </w:tc>
        <w:tc>
          <w:tcPr>
            <w:tcW w:w="1300" w:type="dxa"/>
          </w:tcPr>
          <w:p w14:paraId="46DF7547" w14:textId="77777777" w:rsidR="00893C7E" w:rsidRDefault="00000000">
            <w:r>
              <w:rPr>
                <w:sz w:val="18"/>
                <w:szCs w:val="18"/>
              </w:rPr>
              <w:t>78%</w:t>
            </w:r>
          </w:p>
        </w:tc>
        <w:tc>
          <w:tcPr>
            <w:tcW w:w="1300" w:type="dxa"/>
          </w:tcPr>
          <w:p w14:paraId="05A2FBA4" w14:textId="77777777" w:rsidR="00893C7E" w:rsidRDefault="00000000">
            <w:r>
              <w:rPr>
                <w:sz w:val="18"/>
                <w:szCs w:val="18"/>
              </w:rPr>
              <w:t>3/3</w:t>
            </w:r>
          </w:p>
        </w:tc>
        <w:tc>
          <w:tcPr>
            <w:tcW w:w="1400" w:type="dxa"/>
          </w:tcPr>
          <w:p w14:paraId="589C63B2" w14:textId="77777777" w:rsidR="00893C7E" w:rsidRDefault="00000000">
            <w:r>
              <w:rPr>
                <w:sz w:val="18"/>
                <w:szCs w:val="18"/>
              </w:rPr>
              <w:t>-0.58</w:t>
            </w:r>
          </w:p>
        </w:tc>
        <w:tc>
          <w:tcPr>
            <w:tcW w:w="1400" w:type="dxa"/>
          </w:tcPr>
          <w:p w14:paraId="02A98872" w14:textId="77777777" w:rsidR="00893C7E" w:rsidRDefault="00000000">
            <w:r>
              <w:rPr>
                <w:sz w:val="18"/>
                <w:szCs w:val="18"/>
              </w:rPr>
              <w:t>0.017</w:t>
            </w:r>
          </w:p>
        </w:tc>
      </w:tr>
      <w:tr w:rsidR="00893C7E" w14:paraId="14FDD551" w14:textId="77777777">
        <w:tblPrEx>
          <w:tblCellMar>
            <w:top w:w="0" w:type="dxa"/>
            <w:bottom w:w="0" w:type="dxa"/>
          </w:tblCellMar>
        </w:tblPrEx>
        <w:tc>
          <w:tcPr>
            <w:tcW w:w="1200" w:type="dxa"/>
          </w:tcPr>
          <w:p w14:paraId="1AF7B833" w14:textId="77777777" w:rsidR="00893C7E" w:rsidRDefault="00000000">
            <w:r>
              <w:rPr>
                <w:sz w:val="18"/>
                <w:szCs w:val="18"/>
              </w:rPr>
              <w:t>PRPS1</w:t>
            </w:r>
          </w:p>
        </w:tc>
        <w:tc>
          <w:tcPr>
            <w:tcW w:w="1300" w:type="dxa"/>
          </w:tcPr>
          <w:p w14:paraId="2C624BBA" w14:textId="77777777" w:rsidR="00893C7E" w:rsidRDefault="00000000">
            <w:r>
              <w:rPr>
                <w:sz w:val="18"/>
                <w:szCs w:val="18"/>
              </w:rPr>
              <w:t>0.61</w:t>
            </w:r>
          </w:p>
        </w:tc>
        <w:tc>
          <w:tcPr>
            <w:tcW w:w="1300" w:type="dxa"/>
          </w:tcPr>
          <w:p w14:paraId="51FFF82F" w14:textId="77777777" w:rsidR="00893C7E" w:rsidRDefault="00000000">
            <w:r>
              <w:rPr>
                <w:sz w:val="18"/>
                <w:szCs w:val="18"/>
              </w:rPr>
              <w:t>13%</w:t>
            </w:r>
          </w:p>
        </w:tc>
        <w:tc>
          <w:tcPr>
            <w:tcW w:w="1300" w:type="dxa"/>
          </w:tcPr>
          <w:p w14:paraId="63E10634" w14:textId="77777777" w:rsidR="00893C7E" w:rsidRDefault="00000000">
            <w:r>
              <w:rPr>
                <w:sz w:val="18"/>
                <w:szCs w:val="18"/>
              </w:rPr>
              <w:t>3/3</w:t>
            </w:r>
          </w:p>
        </w:tc>
        <w:tc>
          <w:tcPr>
            <w:tcW w:w="1400" w:type="dxa"/>
          </w:tcPr>
          <w:p w14:paraId="4AB7DEA5" w14:textId="77777777" w:rsidR="00893C7E" w:rsidRDefault="00000000">
            <w:r>
              <w:rPr>
                <w:sz w:val="18"/>
                <w:szCs w:val="18"/>
              </w:rPr>
              <w:t>-0.46</w:t>
            </w:r>
          </w:p>
        </w:tc>
        <w:tc>
          <w:tcPr>
            <w:tcW w:w="1400" w:type="dxa"/>
          </w:tcPr>
          <w:p w14:paraId="0AE52D0C" w14:textId="77777777" w:rsidR="00893C7E" w:rsidRDefault="00000000">
            <w:r>
              <w:rPr>
                <w:sz w:val="18"/>
                <w:szCs w:val="18"/>
              </w:rPr>
              <w:t>0.042</w:t>
            </w:r>
          </w:p>
        </w:tc>
      </w:tr>
      <w:tr w:rsidR="00893C7E" w14:paraId="551891C7" w14:textId="77777777">
        <w:tblPrEx>
          <w:tblCellMar>
            <w:top w:w="0" w:type="dxa"/>
            <w:bottom w:w="0" w:type="dxa"/>
          </w:tblCellMar>
        </w:tblPrEx>
        <w:tc>
          <w:tcPr>
            <w:tcW w:w="1200" w:type="dxa"/>
          </w:tcPr>
          <w:p w14:paraId="68ED417D" w14:textId="77777777" w:rsidR="00893C7E" w:rsidRDefault="00000000">
            <w:r>
              <w:rPr>
                <w:sz w:val="18"/>
                <w:szCs w:val="18"/>
              </w:rPr>
              <w:t>AKT3</w:t>
            </w:r>
          </w:p>
        </w:tc>
        <w:tc>
          <w:tcPr>
            <w:tcW w:w="1300" w:type="dxa"/>
          </w:tcPr>
          <w:p w14:paraId="70F65A09" w14:textId="77777777" w:rsidR="00893C7E" w:rsidRDefault="00000000">
            <w:r>
              <w:rPr>
                <w:sz w:val="18"/>
                <w:szCs w:val="18"/>
              </w:rPr>
              <w:t>0.68</w:t>
            </w:r>
          </w:p>
        </w:tc>
        <w:tc>
          <w:tcPr>
            <w:tcW w:w="1300" w:type="dxa"/>
          </w:tcPr>
          <w:p w14:paraId="35E8EE40" w14:textId="77777777" w:rsidR="00893C7E" w:rsidRDefault="00000000">
            <w:r>
              <w:rPr>
                <w:sz w:val="18"/>
                <w:szCs w:val="18"/>
              </w:rPr>
              <w:t>26%</w:t>
            </w:r>
          </w:p>
        </w:tc>
        <w:tc>
          <w:tcPr>
            <w:tcW w:w="1300" w:type="dxa"/>
          </w:tcPr>
          <w:p w14:paraId="4408E524" w14:textId="77777777" w:rsidR="00893C7E" w:rsidRDefault="00000000">
            <w:r>
              <w:rPr>
                <w:sz w:val="18"/>
                <w:szCs w:val="18"/>
              </w:rPr>
              <w:t>3/3</w:t>
            </w:r>
          </w:p>
        </w:tc>
        <w:tc>
          <w:tcPr>
            <w:tcW w:w="1400" w:type="dxa"/>
          </w:tcPr>
          <w:p w14:paraId="244B7264" w14:textId="77777777" w:rsidR="00893C7E" w:rsidRDefault="00000000">
            <w:r>
              <w:rPr>
                <w:sz w:val="18"/>
                <w:szCs w:val="18"/>
              </w:rPr>
              <w:t>+0.56</w:t>
            </w:r>
          </w:p>
        </w:tc>
        <w:tc>
          <w:tcPr>
            <w:tcW w:w="1400" w:type="dxa"/>
          </w:tcPr>
          <w:p w14:paraId="7D7037C6" w14:textId="77777777" w:rsidR="00893C7E" w:rsidRDefault="00000000">
            <w:r>
              <w:rPr>
                <w:sz w:val="18"/>
                <w:szCs w:val="18"/>
              </w:rPr>
              <w:t>0.017</w:t>
            </w:r>
          </w:p>
        </w:tc>
      </w:tr>
      <w:tr w:rsidR="00893C7E" w14:paraId="5C8BAEB2" w14:textId="77777777">
        <w:tblPrEx>
          <w:tblCellMar>
            <w:top w:w="0" w:type="dxa"/>
            <w:bottom w:w="0" w:type="dxa"/>
          </w:tblCellMar>
        </w:tblPrEx>
        <w:tc>
          <w:tcPr>
            <w:tcW w:w="1200" w:type="dxa"/>
          </w:tcPr>
          <w:p w14:paraId="2A9D5A08" w14:textId="77777777" w:rsidR="00893C7E" w:rsidRDefault="00000000">
            <w:r>
              <w:rPr>
                <w:sz w:val="18"/>
                <w:szCs w:val="18"/>
              </w:rPr>
              <w:t>PSMD3</w:t>
            </w:r>
          </w:p>
        </w:tc>
        <w:tc>
          <w:tcPr>
            <w:tcW w:w="1300" w:type="dxa"/>
          </w:tcPr>
          <w:p w14:paraId="7193BD78" w14:textId="77777777" w:rsidR="00893C7E" w:rsidRDefault="00000000">
            <w:r>
              <w:rPr>
                <w:sz w:val="18"/>
                <w:szCs w:val="18"/>
              </w:rPr>
              <w:t>0.52</w:t>
            </w:r>
          </w:p>
        </w:tc>
        <w:tc>
          <w:tcPr>
            <w:tcW w:w="1300" w:type="dxa"/>
          </w:tcPr>
          <w:p w14:paraId="4BD89942" w14:textId="77777777" w:rsidR="00893C7E" w:rsidRDefault="00000000">
            <w:r>
              <w:rPr>
                <w:sz w:val="18"/>
                <w:szCs w:val="18"/>
              </w:rPr>
              <w:t>20%</w:t>
            </w:r>
          </w:p>
        </w:tc>
        <w:tc>
          <w:tcPr>
            <w:tcW w:w="1300" w:type="dxa"/>
          </w:tcPr>
          <w:p w14:paraId="4F7C4BC6" w14:textId="77777777" w:rsidR="00893C7E" w:rsidRDefault="00000000">
            <w:r>
              <w:rPr>
                <w:sz w:val="18"/>
                <w:szCs w:val="18"/>
              </w:rPr>
              <w:t>2/3</w:t>
            </w:r>
          </w:p>
        </w:tc>
        <w:tc>
          <w:tcPr>
            <w:tcW w:w="1400" w:type="dxa"/>
          </w:tcPr>
          <w:p w14:paraId="6E73B9C0" w14:textId="77777777" w:rsidR="00893C7E" w:rsidRDefault="00000000">
            <w:r>
              <w:rPr>
                <w:sz w:val="18"/>
                <w:szCs w:val="18"/>
              </w:rPr>
              <w:t>-0.26</w:t>
            </w:r>
          </w:p>
        </w:tc>
        <w:tc>
          <w:tcPr>
            <w:tcW w:w="1400" w:type="dxa"/>
          </w:tcPr>
          <w:p w14:paraId="68A9FE3F" w14:textId="77777777" w:rsidR="00893C7E" w:rsidRDefault="00000000">
            <w:r>
              <w:rPr>
                <w:sz w:val="18"/>
                <w:szCs w:val="18"/>
              </w:rPr>
              <w:t>0.310</w:t>
            </w:r>
          </w:p>
        </w:tc>
      </w:tr>
      <w:tr w:rsidR="00893C7E" w14:paraId="7C77CB79" w14:textId="77777777">
        <w:tblPrEx>
          <w:tblCellMar>
            <w:top w:w="0" w:type="dxa"/>
            <w:bottom w:w="0" w:type="dxa"/>
          </w:tblCellMar>
        </w:tblPrEx>
        <w:tc>
          <w:tcPr>
            <w:tcW w:w="1200" w:type="dxa"/>
          </w:tcPr>
          <w:p w14:paraId="75B9CD82" w14:textId="77777777" w:rsidR="00893C7E" w:rsidRDefault="00000000">
            <w:r>
              <w:rPr>
                <w:sz w:val="18"/>
                <w:szCs w:val="18"/>
              </w:rPr>
              <w:t>CKMT2</w:t>
            </w:r>
          </w:p>
        </w:tc>
        <w:tc>
          <w:tcPr>
            <w:tcW w:w="1300" w:type="dxa"/>
          </w:tcPr>
          <w:p w14:paraId="740DF52D" w14:textId="77777777" w:rsidR="00893C7E" w:rsidRDefault="00000000">
            <w:r>
              <w:rPr>
                <w:sz w:val="18"/>
                <w:szCs w:val="18"/>
              </w:rPr>
              <w:t>0.96</w:t>
            </w:r>
          </w:p>
        </w:tc>
        <w:tc>
          <w:tcPr>
            <w:tcW w:w="1300" w:type="dxa"/>
          </w:tcPr>
          <w:p w14:paraId="5683B06A" w14:textId="77777777" w:rsidR="00893C7E" w:rsidRDefault="00000000">
            <w:r>
              <w:rPr>
                <w:sz w:val="18"/>
                <w:szCs w:val="18"/>
              </w:rPr>
              <w:t>74%</w:t>
            </w:r>
          </w:p>
        </w:tc>
        <w:tc>
          <w:tcPr>
            <w:tcW w:w="1300" w:type="dxa"/>
          </w:tcPr>
          <w:p w14:paraId="1513B019" w14:textId="77777777" w:rsidR="00893C7E" w:rsidRDefault="00000000">
            <w:r>
              <w:rPr>
                <w:sz w:val="18"/>
                <w:szCs w:val="18"/>
              </w:rPr>
              <w:t>2/3</w:t>
            </w:r>
          </w:p>
        </w:tc>
        <w:tc>
          <w:tcPr>
            <w:tcW w:w="1400" w:type="dxa"/>
          </w:tcPr>
          <w:p w14:paraId="2F575D8A" w14:textId="77777777" w:rsidR="00893C7E" w:rsidRDefault="00000000">
            <w:r>
              <w:rPr>
                <w:sz w:val="18"/>
                <w:szCs w:val="18"/>
              </w:rPr>
              <w:t>-0.50</w:t>
            </w:r>
          </w:p>
        </w:tc>
        <w:tc>
          <w:tcPr>
            <w:tcW w:w="1400" w:type="dxa"/>
          </w:tcPr>
          <w:p w14:paraId="45AC4249" w14:textId="77777777" w:rsidR="00893C7E" w:rsidRDefault="00000000">
            <w:r>
              <w:rPr>
                <w:sz w:val="18"/>
                <w:szCs w:val="18"/>
              </w:rPr>
              <w:t>0.026</w:t>
            </w:r>
          </w:p>
        </w:tc>
      </w:tr>
      <w:tr w:rsidR="00893C7E" w14:paraId="12931B8F" w14:textId="77777777">
        <w:tblPrEx>
          <w:tblCellMar>
            <w:top w:w="0" w:type="dxa"/>
            <w:bottom w:w="0" w:type="dxa"/>
          </w:tblCellMar>
        </w:tblPrEx>
        <w:tc>
          <w:tcPr>
            <w:tcW w:w="1200" w:type="dxa"/>
          </w:tcPr>
          <w:p w14:paraId="1AC5E2CF" w14:textId="77777777" w:rsidR="00893C7E" w:rsidRDefault="00000000">
            <w:r>
              <w:rPr>
                <w:sz w:val="18"/>
                <w:szCs w:val="18"/>
              </w:rPr>
              <w:t>IGF1</w:t>
            </w:r>
          </w:p>
        </w:tc>
        <w:tc>
          <w:tcPr>
            <w:tcW w:w="1300" w:type="dxa"/>
          </w:tcPr>
          <w:p w14:paraId="349AF0CC" w14:textId="77777777" w:rsidR="00893C7E" w:rsidRDefault="00000000">
            <w:r>
              <w:rPr>
                <w:sz w:val="18"/>
                <w:szCs w:val="18"/>
              </w:rPr>
              <w:t>0.84</w:t>
            </w:r>
          </w:p>
        </w:tc>
        <w:tc>
          <w:tcPr>
            <w:tcW w:w="1300" w:type="dxa"/>
          </w:tcPr>
          <w:p w14:paraId="37149488" w14:textId="77777777" w:rsidR="00893C7E" w:rsidRDefault="00000000">
            <w:r>
              <w:rPr>
                <w:sz w:val="18"/>
                <w:szCs w:val="18"/>
              </w:rPr>
              <w:t>28%</w:t>
            </w:r>
          </w:p>
        </w:tc>
        <w:tc>
          <w:tcPr>
            <w:tcW w:w="1300" w:type="dxa"/>
          </w:tcPr>
          <w:p w14:paraId="2B92F7C1" w14:textId="77777777" w:rsidR="00893C7E" w:rsidRDefault="00000000">
            <w:r>
              <w:rPr>
                <w:sz w:val="18"/>
                <w:szCs w:val="18"/>
              </w:rPr>
              <w:t>2/3</w:t>
            </w:r>
          </w:p>
        </w:tc>
        <w:tc>
          <w:tcPr>
            <w:tcW w:w="1400" w:type="dxa"/>
          </w:tcPr>
          <w:p w14:paraId="4037727E" w14:textId="77777777" w:rsidR="00893C7E" w:rsidRDefault="00000000">
            <w:r>
              <w:rPr>
                <w:sz w:val="18"/>
                <w:szCs w:val="18"/>
              </w:rPr>
              <w:t>-0.04</w:t>
            </w:r>
          </w:p>
        </w:tc>
        <w:tc>
          <w:tcPr>
            <w:tcW w:w="1400" w:type="dxa"/>
          </w:tcPr>
          <w:p w14:paraId="2A301B46" w14:textId="77777777" w:rsidR="00893C7E" w:rsidRDefault="00000000">
            <w:r>
              <w:rPr>
                <w:sz w:val="18"/>
                <w:szCs w:val="18"/>
              </w:rPr>
              <w:t>0.856</w:t>
            </w:r>
          </w:p>
        </w:tc>
      </w:tr>
      <w:tr w:rsidR="00893C7E" w14:paraId="0A900411" w14:textId="77777777">
        <w:tblPrEx>
          <w:tblCellMar>
            <w:top w:w="0" w:type="dxa"/>
            <w:bottom w:w="0" w:type="dxa"/>
          </w:tblCellMar>
        </w:tblPrEx>
        <w:tc>
          <w:tcPr>
            <w:tcW w:w="1200" w:type="dxa"/>
          </w:tcPr>
          <w:p w14:paraId="3094E93C" w14:textId="77777777" w:rsidR="00893C7E" w:rsidRDefault="00000000">
            <w:r>
              <w:rPr>
                <w:sz w:val="18"/>
                <w:szCs w:val="18"/>
              </w:rPr>
              <w:t>SGK1</w:t>
            </w:r>
          </w:p>
        </w:tc>
        <w:tc>
          <w:tcPr>
            <w:tcW w:w="1300" w:type="dxa"/>
          </w:tcPr>
          <w:p w14:paraId="5BC463AF" w14:textId="77777777" w:rsidR="00893C7E" w:rsidRDefault="00000000">
            <w:r>
              <w:rPr>
                <w:sz w:val="18"/>
                <w:szCs w:val="18"/>
              </w:rPr>
              <w:t>0.79</w:t>
            </w:r>
          </w:p>
        </w:tc>
        <w:tc>
          <w:tcPr>
            <w:tcW w:w="1300" w:type="dxa"/>
          </w:tcPr>
          <w:p w14:paraId="183115F4" w14:textId="77777777" w:rsidR="00893C7E" w:rsidRDefault="00000000">
            <w:r>
              <w:rPr>
                <w:sz w:val="18"/>
                <w:szCs w:val="18"/>
              </w:rPr>
              <w:t>59%</w:t>
            </w:r>
          </w:p>
        </w:tc>
        <w:tc>
          <w:tcPr>
            <w:tcW w:w="1300" w:type="dxa"/>
          </w:tcPr>
          <w:p w14:paraId="2E240244" w14:textId="77777777" w:rsidR="00893C7E" w:rsidRDefault="00000000">
            <w:r>
              <w:rPr>
                <w:sz w:val="18"/>
                <w:szCs w:val="18"/>
              </w:rPr>
              <w:t>2/3</w:t>
            </w:r>
          </w:p>
        </w:tc>
        <w:tc>
          <w:tcPr>
            <w:tcW w:w="1400" w:type="dxa"/>
          </w:tcPr>
          <w:p w14:paraId="3677AF43" w14:textId="77777777" w:rsidR="00893C7E" w:rsidRDefault="00000000">
            <w:r>
              <w:rPr>
                <w:sz w:val="18"/>
                <w:szCs w:val="18"/>
              </w:rPr>
              <w:t>-0.52</w:t>
            </w:r>
          </w:p>
        </w:tc>
        <w:tc>
          <w:tcPr>
            <w:tcW w:w="1400" w:type="dxa"/>
          </w:tcPr>
          <w:p w14:paraId="288B7EE6" w14:textId="77777777" w:rsidR="00893C7E" w:rsidRDefault="00000000">
            <w:r>
              <w:rPr>
                <w:sz w:val="18"/>
                <w:szCs w:val="18"/>
              </w:rPr>
              <w:t>0.025</w:t>
            </w:r>
          </w:p>
        </w:tc>
      </w:tr>
      <w:tr w:rsidR="00893C7E" w14:paraId="68ADFD87" w14:textId="77777777">
        <w:tblPrEx>
          <w:tblCellMar>
            <w:top w:w="0" w:type="dxa"/>
            <w:bottom w:w="0" w:type="dxa"/>
          </w:tblCellMar>
        </w:tblPrEx>
        <w:tc>
          <w:tcPr>
            <w:tcW w:w="1200" w:type="dxa"/>
          </w:tcPr>
          <w:p w14:paraId="51F8B0BB" w14:textId="77777777" w:rsidR="00893C7E" w:rsidRDefault="00000000">
            <w:r>
              <w:rPr>
                <w:sz w:val="18"/>
                <w:szCs w:val="18"/>
              </w:rPr>
              <w:t>AKT1</w:t>
            </w:r>
          </w:p>
        </w:tc>
        <w:tc>
          <w:tcPr>
            <w:tcW w:w="1300" w:type="dxa"/>
          </w:tcPr>
          <w:p w14:paraId="4CA0C462" w14:textId="77777777" w:rsidR="00893C7E" w:rsidRDefault="00000000">
            <w:r>
              <w:rPr>
                <w:sz w:val="18"/>
                <w:szCs w:val="18"/>
              </w:rPr>
              <w:t>0.46</w:t>
            </w:r>
          </w:p>
        </w:tc>
        <w:tc>
          <w:tcPr>
            <w:tcW w:w="1300" w:type="dxa"/>
          </w:tcPr>
          <w:p w14:paraId="4E9AC442" w14:textId="77777777" w:rsidR="00893C7E" w:rsidRDefault="00000000">
            <w:r>
              <w:rPr>
                <w:sz w:val="18"/>
                <w:szCs w:val="18"/>
              </w:rPr>
              <w:t>30%</w:t>
            </w:r>
          </w:p>
        </w:tc>
        <w:tc>
          <w:tcPr>
            <w:tcW w:w="1300" w:type="dxa"/>
          </w:tcPr>
          <w:p w14:paraId="2267FDF5" w14:textId="77777777" w:rsidR="00893C7E" w:rsidRDefault="00000000">
            <w:r>
              <w:rPr>
                <w:sz w:val="18"/>
                <w:szCs w:val="18"/>
              </w:rPr>
              <w:t>2/3</w:t>
            </w:r>
          </w:p>
        </w:tc>
        <w:tc>
          <w:tcPr>
            <w:tcW w:w="1400" w:type="dxa"/>
          </w:tcPr>
          <w:p w14:paraId="0A865BA7" w14:textId="77777777" w:rsidR="00893C7E" w:rsidRDefault="00000000">
            <w:r>
              <w:rPr>
                <w:sz w:val="18"/>
                <w:szCs w:val="18"/>
              </w:rPr>
              <w:t>+0.51</w:t>
            </w:r>
          </w:p>
        </w:tc>
        <w:tc>
          <w:tcPr>
            <w:tcW w:w="1400" w:type="dxa"/>
          </w:tcPr>
          <w:p w14:paraId="5F76B942" w14:textId="77777777" w:rsidR="00893C7E" w:rsidRDefault="00000000">
            <w:r>
              <w:rPr>
                <w:sz w:val="18"/>
                <w:szCs w:val="18"/>
              </w:rPr>
              <w:t>0.026</w:t>
            </w:r>
          </w:p>
        </w:tc>
      </w:tr>
    </w:tbl>
    <w:p w14:paraId="75E41B1A" w14:textId="77777777" w:rsidR="00893C7E" w:rsidRDefault="00893C7E">
      <w:pPr>
        <w:spacing w:after="150"/>
      </w:pPr>
    </w:p>
    <w:p w14:paraId="4AF0A656" w14:textId="77777777" w:rsidR="00893C7E" w:rsidRDefault="00000000">
      <w:pPr>
        <w:spacing w:after="120"/>
      </w:pPr>
      <w:r>
        <w:rPr>
          <w:b/>
          <w:bCs/>
        </w:rPr>
        <w:t>Leitura dos achados centrais:</w:t>
      </w:r>
    </w:p>
    <w:p w14:paraId="0D2A0EAE" w14:textId="77777777" w:rsidR="00893C7E" w:rsidRDefault="00000000">
      <w:pPr>
        <w:pStyle w:val="PargrafodaLista"/>
        <w:numPr>
          <w:ilvl w:val="0"/>
          <w:numId w:val="1"/>
        </w:numPr>
        <w:spacing w:after="60"/>
      </w:pPr>
      <w:r>
        <w:t xml:space="preserve">GATM é o único gene significativo nos 3 eixos ao mesmo tempo, com direção consistente (reprimido em disfunção/fibrose, aumentado com melhor </w:t>
      </w:r>
      <w:proofErr w:type="spellStart"/>
      <w:r>
        <w:t>eGFR</w:t>
      </w:r>
      <w:proofErr w:type="spellEnd"/>
      <w:r>
        <w:t>), e já era o gene mais bem caracterizado evolutivamente. É o candidato mais forte para ancorar a conexão entre as duas linhas de pesquisa.</w:t>
      </w:r>
    </w:p>
    <w:p w14:paraId="2181F018" w14:textId="77777777" w:rsidR="00893C7E" w:rsidRDefault="00000000">
      <w:pPr>
        <w:pStyle w:val="PargrafodaLista"/>
        <w:numPr>
          <w:ilvl w:val="0"/>
          <w:numId w:val="1"/>
        </w:numPr>
        <w:spacing w:after="60"/>
      </w:pPr>
      <w:r>
        <w:t>PSMB5 é o achado mais inesperado: maior correlação com fibrose de toda a lista, sem destaque prévio.</w:t>
      </w:r>
    </w:p>
    <w:p w14:paraId="10E49C1E" w14:textId="77777777" w:rsidR="00893C7E" w:rsidRDefault="00000000">
      <w:pPr>
        <w:pStyle w:val="PargrafodaLista"/>
        <w:numPr>
          <w:ilvl w:val="0"/>
          <w:numId w:val="1"/>
        </w:numPr>
        <w:spacing w:after="60"/>
      </w:pPr>
      <w:r>
        <w:t>AKT3 é o único gene cuja expressão sobe com pior função renal, direção oposta à maioria. É candidato a marcador compensatório ou inflamatório, e merece nota própria na discussão.</w:t>
      </w:r>
    </w:p>
    <w:p w14:paraId="2D45E4BF" w14:textId="12D00FB0" w:rsidR="00893C7E" w:rsidRDefault="003B6CB7">
      <w:pPr>
        <w:pStyle w:val="PargrafodaLista"/>
        <w:numPr>
          <w:ilvl w:val="0"/>
          <w:numId w:val="1"/>
        </w:numPr>
        <w:spacing w:after="60"/>
      </w:pPr>
      <w:r w:rsidRPr="003B6CB7">
        <w:t xml:space="preserve">SLC6A8, apesar de ser o gene mais conservado evolutivamente dos dois já analisados (18 de 19 substituições possíveis preditas como patogênicas em sítios conservados), tem tau apenas moderado (0,58). Isso é um contraexemplo direto à expectativa que motivou esta análise integrativa: a de que genes mais conservados evolutivamente também seriam os mais específicos de tecido. Faz sentido biologicamente que essa expectativa não se confirme, já que conservação de sequência reflete pressão seletiva sobre a função da proteína, enquanto especificidade de expressão é controlada por elementos regulatórios (promotores, </w:t>
      </w:r>
      <w:proofErr w:type="spellStart"/>
      <w:r w:rsidRPr="003B6CB7">
        <w:t>enhancers</w:t>
      </w:r>
      <w:proofErr w:type="spellEnd"/>
      <w:r w:rsidRPr="003B6CB7">
        <w:t>) que evoluem de forma relativamente independente da sequência codificante. São dois mecanismos distintos, e não havia motivo forte para esperar que andassem juntos. Um contraexemplo já nos dois primeiros genes testados reforça a importância de completar a extensão do pipeline evolutivo (seção 4) antes de generalizar qualquer conclusão para os 17 genes.</w:t>
      </w:r>
    </w:p>
    <w:p w14:paraId="6D652F8D" w14:textId="77777777" w:rsidR="00893C7E" w:rsidRDefault="00000000">
      <w:pPr>
        <w:pStyle w:val="Ttulo1"/>
        <w:spacing w:before="300" w:after="150"/>
      </w:pPr>
      <w:r>
        <w:t xml:space="preserve">4. Viabilização do </w:t>
      </w:r>
      <w:proofErr w:type="spellStart"/>
      <w:r>
        <w:t>TaxOnTree</w:t>
      </w:r>
      <w:proofErr w:type="spellEnd"/>
    </w:p>
    <w:p w14:paraId="5DDE2EF4" w14:textId="043796E2" w:rsidR="00893C7E" w:rsidRDefault="00000000">
      <w:pPr>
        <w:spacing w:after="120"/>
      </w:pPr>
      <w:proofErr w:type="gramStart"/>
      <w:r>
        <w:t>Por qu</w:t>
      </w:r>
      <w:r w:rsidR="003B6CB7">
        <w:t>e</w:t>
      </w:r>
      <w:proofErr w:type="gramEnd"/>
      <w:r>
        <w:t xml:space="preserve">: a tabela integrada da seção 3.4 hoje só tem conservação evolutiva real para dois genes, GATM e SLC6A8, porque foram os únicos já processados pelo pipeline evolutivo do laboratório. Para os outros 15 genes, a coluna de conservação simplesmente não existe ainda. Sem ela, qualquer afirmação sobre "os genes mais conservados também são os mais desregulados" fica limitada a uma comparação de apenas 2 pontos, o que não sustenta nenhuma conclusão estatística. Para preencher essa lacuna, era preciso rodar, nos 15 genes restantes, o mesmo pipeline já usado em GATM e SLC6A8: o </w:t>
      </w:r>
      <w:proofErr w:type="spellStart"/>
      <w:r>
        <w:t>TaxOnTree</w:t>
      </w:r>
      <w:proofErr w:type="spellEnd"/>
      <w:r>
        <w:t>, que faz uma busca BLAST por proteínas homólogas em outras espécies, alinha essas sequências, remove regiões de alinhamento pouco confiáveis (</w:t>
      </w:r>
      <w:proofErr w:type="spellStart"/>
      <w:r>
        <w:t>trimagem</w:t>
      </w:r>
      <w:proofErr w:type="spellEnd"/>
      <w:r>
        <w:t xml:space="preserve">) e reconstrói uma árvore filogenética anotada com a taxonomia de cada organismo. Os parâmetros usados precisavam ser os mesmos já descritos no abstract em preparação do grupo: dois </w:t>
      </w:r>
      <w:proofErr w:type="spellStart"/>
      <w:r>
        <w:t>thresholds</w:t>
      </w:r>
      <w:proofErr w:type="spellEnd"/>
      <w:r>
        <w:t xml:space="preserve"> de identidade de sequência (50% e 75%) cruzados com dois limites de número de sequências recuperadas (200 e 800), quatro combinações por gene.</w:t>
      </w:r>
    </w:p>
    <w:p w14:paraId="2FBC34DD" w14:textId="77777777" w:rsidR="00893C7E" w:rsidRDefault="00000000">
      <w:pPr>
        <w:spacing w:after="120"/>
      </w:pPr>
      <w:r>
        <w:t xml:space="preserve">O </w:t>
      </w:r>
      <w:proofErr w:type="spellStart"/>
      <w:r>
        <w:t>TaxOnTree</w:t>
      </w:r>
      <w:proofErr w:type="spellEnd"/>
      <w:r>
        <w:t xml:space="preserve"> tem código-fonte aberto, em Perl, e uma interface de linha de comando documentada (o manual descreve exatamente os parâmetros necessários), o que tornava viável rodar localmente em vez de depender da interface web pública, que não é prática para rodar 60 combinações em sequência. Na prática, colocar isso para funcionar neste computador Windows exigiu resolver uma sequência de problemas de infraestrutura. A maioria era trivial (dependência faltando), mas um deles acabou sendo um bug real na ferramenta em si, que vale a pena registrar:</w:t>
      </w:r>
    </w:p>
    <w:p w14:paraId="6244BD2D" w14:textId="77777777" w:rsidR="00893C7E" w:rsidRDefault="00000000">
      <w:pPr>
        <w:pStyle w:val="PargrafodaLista"/>
        <w:numPr>
          <w:ilvl w:val="0"/>
          <w:numId w:val="1"/>
        </w:numPr>
        <w:spacing w:after="60"/>
      </w:pPr>
      <w:r>
        <w:t xml:space="preserve">O Perl disponível no ambiente estava com módulos essenciais faltando e sem conseguir instalá-los. Troquei para o </w:t>
      </w:r>
      <w:proofErr w:type="spellStart"/>
      <w:r>
        <w:t>Strawberry</w:t>
      </w:r>
      <w:proofErr w:type="spellEnd"/>
      <w:r>
        <w:t xml:space="preserve"> Perl, uma distribuição Windows completa e autocontida do Perl, que resolveu isso de uma vez.</w:t>
      </w:r>
    </w:p>
    <w:p w14:paraId="021A5EB6" w14:textId="77777777" w:rsidR="00893C7E" w:rsidRDefault="00000000">
      <w:pPr>
        <w:pStyle w:val="PargrafodaLista"/>
        <w:numPr>
          <w:ilvl w:val="0"/>
          <w:numId w:val="1"/>
        </w:numPr>
        <w:spacing w:after="60"/>
      </w:pPr>
      <w:r>
        <w:t xml:space="preserve">Instalei e configurei localmente as quatro ferramentas externas que o </w:t>
      </w:r>
      <w:proofErr w:type="spellStart"/>
      <w:r>
        <w:t>TaxOnTree</w:t>
      </w:r>
      <w:proofErr w:type="spellEnd"/>
      <w:r>
        <w:t xml:space="preserve"> usa como etapas do pipeline: BLAST+ (busca de sequências homólogas), MUSCLE (alinhamento múltiplo), </w:t>
      </w:r>
      <w:proofErr w:type="spellStart"/>
      <w:r>
        <w:t>trimAl</w:t>
      </w:r>
      <w:proofErr w:type="spellEnd"/>
      <w:r>
        <w:t xml:space="preserve"> (limpeza do alinhamento) e </w:t>
      </w:r>
      <w:proofErr w:type="spellStart"/>
      <w:r>
        <w:t>FastTree</w:t>
      </w:r>
      <w:proofErr w:type="spellEnd"/>
      <w:r>
        <w:t xml:space="preserve"> (reconstrução da árvore).</w:t>
      </w:r>
    </w:p>
    <w:p w14:paraId="48B02D28" w14:textId="77777777" w:rsidR="00893C7E" w:rsidRDefault="00000000">
      <w:pPr>
        <w:spacing w:after="120"/>
      </w:pPr>
      <w:r>
        <w:rPr>
          <w:b/>
          <w:bCs/>
        </w:rPr>
        <w:lastRenderedPageBreak/>
        <w:t xml:space="preserve">Bug real encontrado no código do </w:t>
      </w:r>
      <w:proofErr w:type="spellStart"/>
      <w:r>
        <w:rPr>
          <w:b/>
          <w:bCs/>
        </w:rPr>
        <w:t>TaxOnTree</w:t>
      </w:r>
      <w:proofErr w:type="spellEnd"/>
      <w:r>
        <w:rPr>
          <w:b/>
          <w:bCs/>
        </w:rPr>
        <w:t xml:space="preserve">: </w:t>
      </w:r>
      <w:r>
        <w:t xml:space="preserve">o script consulta um serviço complementar do próprio grupo (o </w:t>
      </w:r>
      <w:proofErr w:type="spellStart"/>
      <w:r>
        <w:t>taxallnomy</w:t>
      </w:r>
      <w:proofErr w:type="spellEnd"/>
      <w:r>
        <w:t>, que devolve a linhagem taxonômica completa de cada organismo encontrado) e, para isso, envia uma lista fixa de nomes de "rank" taxonômico, entre eles "</w:t>
      </w:r>
      <w:proofErr w:type="spellStart"/>
      <w:r>
        <w:t>superkingdom</w:t>
      </w:r>
      <w:proofErr w:type="spellEnd"/>
      <w:r>
        <w:t>". Acontece que o NCBI descontinuou oficialmente esse nome há alguns anos e passou a usar "</w:t>
      </w:r>
      <w:proofErr w:type="spellStart"/>
      <w:r>
        <w:t>domain</w:t>
      </w:r>
      <w:proofErr w:type="spellEnd"/>
      <w:r>
        <w:t xml:space="preserve">" em seu lugar (o rank taxonômico mais alto, que separa </w:t>
      </w:r>
      <w:proofErr w:type="spellStart"/>
      <w:r>
        <w:t>Bacteria</w:t>
      </w:r>
      <w:proofErr w:type="spellEnd"/>
      <w:r>
        <w:t xml:space="preserve">, </w:t>
      </w:r>
      <w:proofErr w:type="spellStart"/>
      <w:r>
        <w:t>Archaea</w:t>
      </w:r>
      <w:proofErr w:type="spellEnd"/>
      <w:r>
        <w:t xml:space="preserve"> e </w:t>
      </w:r>
      <w:proofErr w:type="spellStart"/>
      <w:r>
        <w:t>Eukaryota</w:t>
      </w:r>
      <w:proofErr w:type="spellEnd"/>
      <w:r>
        <w:t xml:space="preserve">). O serviço </w:t>
      </w:r>
      <w:proofErr w:type="spellStart"/>
      <w:r>
        <w:t>taxallnomy</w:t>
      </w:r>
      <w:proofErr w:type="spellEnd"/>
      <w:r>
        <w:t xml:space="preserve"> hoje rejeita a consulta inteira assim que recebe um único nome de rank que ele não reconhece, e "</w:t>
      </w:r>
      <w:proofErr w:type="spellStart"/>
      <w:r>
        <w:t>superkingdom</w:t>
      </w:r>
      <w:proofErr w:type="spellEnd"/>
      <w:r>
        <w:t>" é exatamente esse caso. O efeito prático é que a etapa de anotação taxonômica falha silenciosamente para 100% dos organismos, sem nenhuma mensagem de erro clara apontando a causa, o que torna esse bug difícil de diagnosticar sem examinar o código-fonte linha a linha, como foi feito aqui. A correção local foi trocar "</w:t>
      </w:r>
      <w:proofErr w:type="spellStart"/>
      <w:r>
        <w:t>superkingdom</w:t>
      </w:r>
      <w:proofErr w:type="spellEnd"/>
      <w:r>
        <w:t>" por "</w:t>
      </w:r>
      <w:proofErr w:type="spellStart"/>
      <w:r>
        <w:t>domain</w:t>
      </w:r>
      <w:proofErr w:type="spellEnd"/>
      <w:r>
        <w:t xml:space="preserve">" na lista de ranks do script. Como esse bug afeta qualquer pessoa rodando o </w:t>
      </w:r>
      <w:proofErr w:type="spellStart"/>
      <w:r>
        <w:t>TaxOnTree</w:t>
      </w:r>
      <w:proofErr w:type="spellEnd"/>
      <w:r>
        <w:t xml:space="preserve"> hoje, não só este projeto, vale considerar reportá-lo formalmente a quem mantém a ferramenta.</w:t>
      </w:r>
    </w:p>
    <w:p w14:paraId="29C1247D" w14:textId="77777777" w:rsidR="00893C7E" w:rsidRDefault="00000000">
      <w:pPr>
        <w:pStyle w:val="PargrafodaLista"/>
        <w:numPr>
          <w:ilvl w:val="0"/>
          <w:numId w:val="1"/>
        </w:numPr>
        <w:spacing w:after="60"/>
      </w:pPr>
      <w:r>
        <w:t xml:space="preserve">Resolvi mais três problemas menores, específicos de rodar esse conjunto de ferramentas no Windows: uma biblioteca de SSL que não carregava corretamente ao chamar o Perl por um determinado caminho, uma colisão de nome entre uma pasta e um executável que fazia o </w:t>
      </w:r>
      <w:proofErr w:type="spellStart"/>
      <w:r>
        <w:t>TaxOnTree</w:t>
      </w:r>
      <w:proofErr w:type="spellEnd"/>
      <w:r>
        <w:t xml:space="preserve"> confundir os dois, e um comportamento inesperado do interpretador de XML usado para ler o arquivo de configuração.</w:t>
      </w:r>
    </w:p>
    <w:p w14:paraId="71A1886E" w14:textId="77777777" w:rsidR="00893C7E" w:rsidRDefault="00000000">
      <w:pPr>
        <w:spacing w:after="120"/>
      </w:pPr>
      <w:r>
        <w:t xml:space="preserve">Com o ambiente funcionando de ponta a ponta, validei o pipeline completo com um gene de teste (PRPS1, escolhido por já ter aparecido como candidato de interesse na tabela integrada da seção 3.4) antes de comprometer tempo de computação em todos os genes. Confirmado que a árvore filogenética anotada saía correta, iniciei um lote automatizado para os 15 genes restantes, nas 4 combinações de parâmetros descritas acima (50/200, 50/800, 75/200, 75/800), totalizando 60 execuções de BLAST remoto contra o banco </w:t>
      </w:r>
      <w:proofErr w:type="spellStart"/>
      <w:r>
        <w:t>refseq_protein</w:t>
      </w:r>
      <w:proofErr w:type="spellEnd"/>
      <w:r>
        <w:t xml:space="preserve"> do NCBI.</w:t>
      </w:r>
    </w:p>
    <w:p w14:paraId="5CFBC691" w14:textId="77777777" w:rsidR="00893C7E" w:rsidRDefault="00000000">
      <w:pPr>
        <w:pStyle w:val="Ttulo2"/>
        <w:spacing w:before="250" w:after="120"/>
      </w:pPr>
      <w:r>
        <w:t>4.1. Status atual do lote</w:t>
      </w:r>
    </w:p>
    <w:p w14:paraId="41FD8403" w14:textId="77777777" w:rsidR="00893C7E" w:rsidRDefault="00000000">
      <w:pPr>
        <w:spacing w:after="120"/>
      </w:pPr>
      <w:r>
        <w:t>Das 60 combinações planejadas, 16 já foram concluídas com sucesso (árvore filogenética anotada gerada):</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00"/>
        <w:gridCol w:w="1500"/>
      </w:tblGrid>
      <w:tr w:rsidR="00893C7E" w14:paraId="33D30A60" w14:textId="77777777">
        <w:tblPrEx>
          <w:tblCellMar>
            <w:top w:w="0" w:type="dxa"/>
            <w:bottom w:w="0" w:type="dxa"/>
          </w:tblCellMar>
        </w:tblPrEx>
        <w:tc>
          <w:tcPr>
            <w:tcW w:w="1800" w:type="dxa"/>
            <w:shd w:val="clear" w:color="auto" w:fill="2E5B4F"/>
          </w:tcPr>
          <w:p w14:paraId="35BE510A" w14:textId="77777777" w:rsidR="00893C7E" w:rsidRDefault="00000000">
            <w:r>
              <w:rPr>
                <w:b/>
                <w:bCs/>
                <w:color w:val="FFFFFF"/>
                <w:sz w:val="18"/>
                <w:szCs w:val="18"/>
              </w:rPr>
              <w:t>Gene</w:t>
            </w:r>
          </w:p>
        </w:tc>
        <w:tc>
          <w:tcPr>
            <w:tcW w:w="1500" w:type="dxa"/>
            <w:shd w:val="clear" w:color="auto" w:fill="2E5B4F"/>
          </w:tcPr>
          <w:p w14:paraId="6137C053" w14:textId="77777777" w:rsidR="00893C7E" w:rsidRDefault="00000000">
            <w:r>
              <w:rPr>
                <w:b/>
                <w:bCs/>
                <w:color w:val="FFFFFF"/>
                <w:sz w:val="18"/>
                <w:szCs w:val="18"/>
              </w:rPr>
              <w:t>50/200</w:t>
            </w:r>
          </w:p>
        </w:tc>
        <w:tc>
          <w:tcPr>
            <w:tcW w:w="1500" w:type="dxa"/>
            <w:shd w:val="clear" w:color="auto" w:fill="2E5B4F"/>
          </w:tcPr>
          <w:p w14:paraId="32DA2C3C" w14:textId="77777777" w:rsidR="00893C7E" w:rsidRDefault="00000000">
            <w:r>
              <w:rPr>
                <w:b/>
                <w:bCs/>
                <w:color w:val="FFFFFF"/>
                <w:sz w:val="18"/>
                <w:szCs w:val="18"/>
              </w:rPr>
              <w:t>50/800</w:t>
            </w:r>
          </w:p>
        </w:tc>
        <w:tc>
          <w:tcPr>
            <w:tcW w:w="1500" w:type="dxa"/>
            <w:shd w:val="clear" w:color="auto" w:fill="2E5B4F"/>
          </w:tcPr>
          <w:p w14:paraId="76DFCBD7" w14:textId="77777777" w:rsidR="00893C7E" w:rsidRDefault="00000000">
            <w:r>
              <w:rPr>
                <w:b/>
                <w:bCs/>
                <w:color w:val="FFFFFF"/>
                <w:sz w:val="18"/>
                <w:szCs w:val="18"/>
              </w:rPr>
              <w:t>75/200</w:t>
            </w:r>
          </w:p>
        </w:tc>
        <w:tc>
          <w:tcPr>
            <w:tcW w:w="1500" w:type="dxa"/>
            <w:shd w:val="clear" w:color="auto" w:fill="2E5B4F"/>
          </w:tcPr>
          <w:p w14:paraId="029BF357" w14:textId="77777777" w:rsidR="00893C7E" w:rsidRDefault="00000000">
            <w:r>
              <w:rPr>
                <w:b/>
                <w:bCs/>
                <w:color w:val="FFFFFF"/>
                <w:sz w:val="18"/>
                <w:szCs w:val="18"/>
              </w:rPr>
              <w:t>75/800</w:t>
            </w:r>
          </w:p>
        </w:tc>
      </w:tr>
      <w:tr w:rsidR="00893C7E" w14:paraId="4DA03B71" w14:textId="77777777">
        <w:tblPrEx>
          <w:tblCellMar>
            <w:top w:w="0" w:type="dxa"/>
            <w:bottom w:w="0" w:type="dxa"/>
          </w:tblCellMar>
        </w:tblPrEx>
        <w:tc>
          <w:tcPr>
            <w:tcW w:w="1800" w:type="dxa"/>
          </w:tcPr>
          <w:p w14:paraId="4241E071" w14:textId="77777777" w:rsidR="00893C7E" w:rsidRDefault="00000000">
            <w:r>
              <w:rPr>
                <w:sz w:val="16"/>
                <w:szCs w:val="16"/>
              </w:rPr>
              <w:t>SLC2A4</w:t>
            </w:r>
          </w:p>
        </w:tc>
        <w:tc>
          <w:tcPr>
            <w:tcW w:w="1500" w:type="dxa"/>
          </w:tcPr>
          <w:p w14:paraId="744C182E" w14:textId="77777777" w:rsidR="00893C7E" w:rsidRDefault="00000000">
            <w:r>
              <w:rPr>
                <w:sz w:val="16"/>
                <w:szCs w:val="16"/>
              </w:rPr>
              <w:t>OK</w:t>
            </w:r>
          </w:p>
        </w:tc>
        <w:tc>
          <w:tcPr>
            <w:tcW w:w="1500" w:type="dxa"/>
          </w:tcPr>
          <w:p w14:paraId="26488157" w14:textId="77777777" w:rsidR="00893C7E" w:rsidRDefault="00000000">
            <w:r>
              <w:rPr>
                <w:sz w:val="16"/>
                <w:szCs w:val="16"/>
              </w:rPr>
              <w:t>OK</w:t>
            </w:r>
          </w:p>
        </w:tc>
        <w:tc>
          <w:tcPr>
            <w:tcW w:w="1500" w:type="dxa"/>
          </w:tcPr>
          <w:p w14:paraId="4696BE59" w14:textId="77777777" w:rsidR="00893C7E" w:rsidRDefault="00000000">
            <w:r>
              <w:rPr>
                <w:sz w:val="16"/>
                <w:szCs w:val="16"/>
              </w:rPr>
              <w:t>OK</w:t>
            </w:r>
          </w:p>
        </w:tc>
        <w:tc>
          <w:tcPr>
            <w:tcW w:w="1500" w:type="dxa"/>
          </w:tcPr>
          <w:p w14:paraId="20112AB6" w14:textId="77777777" w:rsidR="00893C7E" w:rsidRDefault="00000000">
            <w:r>
              <w:rPr>
                <w:sz w:val="16"/>
                <w:szCs w:val="16"/>
              </w:rPr>
              <w:t>OK</w:t>
            </w:r>
          </w:p>
        </w:tc>
      </w:tr>
      <w:tr w:rsidR="00893C7E" w14:paraId="10B2D9C9" w14:textId="77777777">
        <w:tblPrEx>
          <w:tblCellMar>
            <w:top w:w="0" w:type="dxa"/>
            <w:bottom w:w="0" w:type="dxa"/>
          </w:tblCellMar>
        </w:tblPrEx>
        <w:tc>
          <w:tcPr>
            <w:tcW w:w="1800" w:type="dxa"/>
          </w:tcPr>
          <w:p w14:paraId="17154827" w14:textId="77777777" w:rsidR="00893C7E" w:rsidRDefault="00000000">
            <w:r>
              <w:rPr>
                <w:sz w:val="16"/>
                <w:szCs w:val="16"/>
              </w:rPr>
              <w:t>IGF1</w:t>
            </w:r>
          </w:p>
        </w:tc>
        <w:tc>
          <w:tcPr>
            <w:tcW w:w="1500" w:type="dxa"/>
          </w:tcPr>
          <w:p w14:paraId="267DBB70" w14:textId="77777777" w:rsidR="00893C7E" w:rsidRDefault="00000000">
            <w:r>
              <w:rPr>
                <w:sz w:val="16"/>
                <w:szCs w:val="16"/>
              </w:rPr>
              <w:t>OK</w:t>
            </w:r>
          </w:p>
        </w:tc>
        <w:tc>
          <w:tcPr>
            <w:tcW w:w="1500" w:type="dxa"/>
          </w:tcPr>
          <w:p w14:paraId="408C852A" w14:textId="77777777" w:rsidR="00893C7E" w:rsidRDefault="00000000">
            <w:r>
              <w:rPr>
                <w:sz w:val="16"/>
                <w:szCs w:val="16"/>
              </w:rPr>
              <w:t>OK</w:t>
            </w:r>
          </w:p>
        </w:tc>
        <w:tc>
          <w:tcPr>
            <w:tcW w:w="1500" w:type="dxa"/>
          </w:tcPr>
          <w:p w14:paraId="69DD6F0D" w14:textId="77777777" w:rsidR="00893C7E" w:rsidRDefault="00000000">
            <w:r>
              <w:rPr>
                <w:sz w:val="16"/>
                <w:szCs w:val="16"/>
              </w:rPr>
              <w:t>OK</w:t>
            </w:r>
          </w:p>
        </w:tc>
        <w:tc>
          <w:tcPr>
            <w:tcW w:w="1500" w:type="dxa"/>
          </w:tcPr>
          <w:p w14:paraId="6EFA3AE8" w14:textId="77777777" w:rsidR="00893C7E" w:rsidRDefault="00000000">
            <w:r>
              <w:rPr>
                <w:sz w:val="16"/>
                <w:szCs w:val="16"/>
              </w:rPr>
              <w:t>OK</w:t>
            </w:r>
          </w:p>
        </w:tc>
      </w:tr>
      <w:tr w:rsidR="00893C7E" w14:paraId="49F2040F" w14:textId="77777777">
        <w:tblPrEx>
          <w:tblCellMar>
            <w:top w:w="0" w:type="dxa"/>
            <w:bottom w:w="0" w:type="dxa"/>
          </w:tblCellMar>
        </w:tblPrEx>
        <w:tc>
          <w:tcPr>
            <w:tcW w:w="1800" w:type="dxa"/>
          </w:tcPr>
          <w:p w14:paraId="38599F1B" w14:textId="77777777" w:rsidR="00893C7E" w:rsidRDefault="00000000">
            <w:r>
              <w:rPr>
                <w:sz w:val="16"/>
                <w:szCs w:val="16"/>
              </w:rPr>
              <w:t>AKT1</w:t>
            </w:r>
          </w:p>
        </w:tc>
        <w:tc>
          <w:tcPr>
            <w:tcW w:w="1500" w:type="dxa"/>
          </w:tcPr>
          <w:p w14:paraId="6139934B" w14:textId="77777777" w:rsidR="00893C7E" w:rsidRDefault="00000000">
            <w:r>
              <w:rPr>
                <w:sz w:val="16"/>
                <w:szCs w:val="16"/>
              </w:rPr>
              <w:t>OK</w:t>
            </w:r>
          </w:p>
        </w:tc>
        <w:tc>
          <w:tcPr>
            <w:tcW w:w="1500" w:type="dxa"/>
          </w:tcPr>
          <w:p w14:paraId="78D47ED5" w14:textId="77777777" w:rsidR="00893C7E" w:rsidRDefault="00000000">
            <w:r>
              <w:rPr>
                <w:sz w:val="16"/>
                <w:szCs w:val="16"/>
              </w:rPr>
              <w:t>falhou (NCBI)</w:t>
            </w:r>
          </w:p>
        </w:tc>
        <w:tc>
          <w:tcPr>
            <w:tcW w:w="1500" w:type="dxa"/>
          </w:tcPr>
          <w:p w14:paraId="0B12A260" w14:textId="77777777" w:rsidR="00893C7E" w:rsidRDefault="00000000">
            <w:r>
              <w:rPr>
                <w:sz w:val="16"/>
                <w:szCs w:val="16"/>
              </w:rPr>
              <w:t>OK</w:t>
            </w:r>
          </w:p>
        </w:tc>
        <w:tc>
          <w:tcPr>
            <w:tcW w:w="1500" w:type="dxa"/>
          </w:tcPr>
          <w:p w14:paraId="64EBED0D" w14:textId="77777777" w:rsidR="00893C7E" w:rsidRDefault="00000000">
            <w:r>
              <w:rPr>
                <w:sz w:val="16"/>
                <w:szCs w:val="16"/>
              </w:rPr>
              <w:t>OK</w:t>
            </w:r>
          </w:p>
        </w:tc>
      </w:tr>
      <w:tr w:rsidR="00893C7E" w14:paraId="20CAB1EA" w14:textId="77777777">
        <w:tblPrEx>
          <w:tblCellMar>
            <w:top w:w="0" w:type="dxa"/>
            <w:bottom w:w="0" w:type="dxa"/>
          </w:tblCellMar>
        </w:tblPrEx>
        <w:tc>
          <w:tcPr>
            <w:tcW w:w="1800" w:type="dxa"/>
          </w:tcPr>
          <w:p w14:paraId="64928259" w14:textId="77777777" w:rsidR="00893C7E" w:rsidRDefault="00000000">
            <w:r>
              <w:rPr>
                <w:sz w:val="16"/>
                <w:szCs w:val="16"/>
              </w:rPr>
              <w:t>AKT2</w:t>
            </w:r>
          </w:p>
        </w:tc>
        <w:tc>
          <w:tcPr>
            <w:tcW w:w="1500" w:type="dxa"/>
          </w:tcPr>
          <w:p w14:paraId="639F746F" w14:textId="77777777" w:rsidR="00893C7E" w:rsidRDefault="00000000">
            <w:r>
              <w:rPr>
                <w:sz w:val="16"/>
                <w:szCs w:val="16"/>
              </w:rPr>
              <w:t>OK</w:t>
            </w:r>
          </w:p>
        </w:tc>
        <w:tc>
          <w:tcPr>
            <w:tcW w:w="1500" w:type="dxa"/>
          </w:tcPr>
          <w:p w14:paraId="7742B9EF" w14:textId="77777777" w:rsidR="00893C7E" w:rsidRDefault="00000000">
            <w:r>
              <w:rPr>
                <w:sz w:val="16"/>
                <w:szCs w:val="16"/>
              </w:rPr>
              <w:t>OK</w:t>
            </w:r>
          </w:p>
        </w:tc>
        <w:tc>
          <w:tcPr>
            <w:tcW w:w="1500" w:type="dxa"/>
          </w:tcPr>
          <w:p w14:paraId="55E41071" w14:textId="77777777" w:rsidR="00893C7E" w:rsidRDefault="00000000">
            <w:r>
              <w:rPr>
                <w:sz w:val="16"/>
                <w:szCs w:val="16"/>
              </w:rPr>
              <w:t>OK</w:t>
            </w:r>
          </w:p>
        </w:tc>
        <w:tc>
          <w:tcPr>
            <w:tcW w:w="1500" w:type="dxa"/>
          </w:tcPr>
          <w:p w14:paraId="29579A64" w14:textId="77777777" w:rsidR="00893C7E" w:rsidRDefault="00000000">
            <w:r>
              <w:rPr>
                <w:sz w:val="16"/>
                <w:szCs w:val="16"/>
              </w:rPr>
              <w:t>OK</w:t>
            </w:r>
          </w:p>
        </w:tc>
      </w:tr>
      <w:tr w:rsidR="00893C7E" w14:paraId="198796A6" w14:textId="77777777">
        <w:tblPrEx>
          <w:tblCellMar>
            <w:top w:w="0" w:type="dxa"/>
            <w:bottom w:w="0" w:type="dxa"/>
          </w:tblCellMar>
        </w:tblPrEx>
        <w:tc>
          <w:tcPr>
            <w:tcW w:w="1800" w:type="dxa"/>
          </w:tcPr>
          <w:p w14:paraId="1B1831B5" w14:textId="77777777" w:rsidR="00893C7E" w:rsidRDefault="00000000">
            <w:r>
              <w:rPr>
                <w:sz w:val="16"/>
                <w:szCs w:val="16"/>
              </w:rPr>
              <w:t>AKT3</w:t>
            </w:r>
          </w:p>
        </w:tc>
        <w:tc>
          <w:tcPr>
            <w:tcW w:w="1500" w:type="dxa"/>
          </w:tcPr>
          <w:p w14:paraId="0A379C1D" w14:textId="77777777" w:rsidR="00893C7E" w:rsidRDefault="00000000">
            <w:r>
              <w:rPr>
                <w:sz w:val="16"/>
                <w:szCs w:val="16"/>
              </w:rPr>
              <w:t>OK</w:t>
            </w:r>
          </w:p>
        </w:tc>
        <w:tc>
          <w:tcPr>
            <w:tcW w:w="1500" w:type="dxa"/>
          </w:tcPr>
          <w:p w14:paraId="126CB039" w14:textId="77777777" w:rsidR="00893C7E" w:rsidRDefault="00000000">
            <w:r>
              <w:rPr>
                <w:sz w:val="16"/>
                <w:szCs w:val="16"/>
              </w:rPr>
              <w:t>pendente</w:t>
            </w:r>
          </w:p>
        </w:tc>
        <w:tc>
          <w:tcPr>
            <w:tcW w:w="1500" w:type="dxa"/>
          </w:tcPr>
          <w:p w14:paraId="6EB12A36" w14:textId="77777777" w:rsidR="00893C7E" w:rsidRDefault="00000000">
            <w:r>
              <w:rPr>
                <w:sz w:val="16"/>
                <w:szCs w:val="16"/>
              </w:rPr>
              <w:t>pendente</w:t>
            </w:r>
          </w:p>
        </w:tc>
        <w:tc>
          <w:tcPr>
            <w:tcW w:w="1500" w:type="dxa"/>
          </w:tcPr>
          <w:p w14:paraId="1DAD399A" w14:textId="77777777" w:rsidR="00893C7E" w:rsidRDefault="00000000">
            <w:r>
              <w:rPr>
                <w:sz w:val="16"/>
                <w:szCs w:val="16"/>
              </w:rPr>
              <w:t>pendente</w:t>
            </w:r>
          </w:p>
        </w:tc>
      </w:tr>
      <w:tr w:rsidR="00893C7E" w14:paraId="7811A15C" w14:textId="77777777">
        <w:tblPrEx>
          <w:tblCellMar>
            <w:top w:w="0" w:type="dxa"/>
            <w:bottom w:w="0" w:type="dxa"/>
          </w:tblCellMar>
        </w:tblPrEx>
        <w:tc>
          <w:tcPr>
            <w:tcW w:w="1800" w:type="dxa"/>
          </w:tcPr>
          <w:p w14:paraId="01AB1FA5" w14:textId="77777777" w:rsidR="00893C7E" w:rsidRDefault="00000000">
            <w:r>
              <w:rPr>
                <w:sz w:val="16"/>
                <w:szCs w:val="16"/>
              </w:rPr>
              <w:t>PSMB5, PSMD3, SGK1, PRPS1, CKB, CKM, CKMT1A, CKMT1B, CKMT2, SLC16A12</w:t>
            </w:r>
          </w:p>
        </w:tc>
        <w:tc>
          <w:tcPr>
            <w:tcW w:w="1500" w:type="dxa"/>
          </w:tcPr>
          <w:p w14:paraId="1CE9BF68" w14:textId="77777777" w:rsidR="00893C7E" w:rsidRDefault="00000000">
            <w:r>
              <w:rPr>
                <w:sz w:val="16"/>
                <w:szCs w:val="16"/>
              </w:rPr>
              <w:t>pendente</w:t>
            </w:r>
          </w:p>
        </w:tc>
        <w:tc>
          <w:tcPr>
            <w:tcW w:w="1500" w:type="dxa"/>
          </w:tcPr>
          <w:p w14:paraId="4E60B0AE" w14:textId="77777777" w:rsidR="00893C7E" w:rsidRDefault="00000000">
            <w:r>
              <w:rPr>
                <w:sz w:val="16"/>
                <w:szCs w:val="16"/>
              </w:rPr>
              <w:t>pendente</w:t>
            </w:r>
          </w:p>
        </w:tc>
        <w:tc>
          <w:tcPr>
            <w:tcW w:w="1500" w:type="dxa"/>
          </w:tcPr>
          <w:p w14:paraId="6E66E105" w14:textId="77777777" w:rsidR="00893C7E" w:rsidRDefault="00000000">
            <w:r>
              <w:rPr>
                <w:sz w:val="16"/>
                <w:szCs w:val="16"/>
              </w:rPr>
              <w:t>pendente</w:t>
            </w:r>
          </w:p>
        </w:tc>
        <w:tc>
          <w:tcPr>
            <w:tcW w:w="1500" w:type="dxa"/>
          </w:tcPr>
          <w:p w14:paraId="7BD36689" w14:textId="77777777" w:rsidR="00893C7E" w:rsidRDefault="00000000">
            <w:r>
              <w:rPr>
                <w:sz w:val="16"/>
                <w:szCs w:val="16"/>
              </w:rPr>
              <w:t>pendente</w:t>
            </w:r>
          </w:p>
        </w:tc>
      </w:tr>
    </w:tbl>
    <w:p w14:paraId="57682F8C" w14:textId="77777777" w:rsidR="00893C7E" w:rsidRDefault="00893C7E">
      <w:pPr>
        <w:spacing w:after="150"/>
      </w:pPr>
    </w:p>
    <w:p w14:paraId="52F4E1B4" w14:textId="77777777" w:rsidR="00893C7E" w:rsidRDefault="00000000">
      <w:pPr>
        <w:spacing w:after="120"/>
      </w:pPr>
      <w:r>
        <w:t>O lote foi pausado porque o NCBI passou a recusar novas submissões de BLAST remoto (erro de servidor consistente com rate-</w:t>
      </w:r>
      <w:proofErr w:type="spellStart"/>
      <w:r>
        <w:t>limiting</w:t>
      </w:r>
      <w:proofErr w:type="spellEnd"/>
      <w:r>
        <w:t xml:space="preserve"> por volume de requisições, confirmado com uma chamada de teste isolada, que recebeu o mesmo erro "Could not </w:t>
      </w:r>
      <w:proofErr w:type="spellStart"/>
      <w:r>
        <w:t>queue</w:t>
      </w:r>
      <w:proofErr w:type="spellEnd"/>
      <w:r>
        <w:t xml:space="preserve"> </w:t>
      </w:r>
      <w:proofErr w:type="spellStart"/>
      <w:r>
        <w:t>request</w:t>
      </w:r>
      <w:proofErr w:type="spellEnd"/>
      <w:r>
        <w:t>"). Isso é uma limitação do lado do NCBI, não um problema do nosso pipeline. A retomada está planejada para depois de um intervalo de pausa, com espaçamento maior entre submissões.</w:t>
      </w:r>
    </w:p>
    <w:p w14:paraId="17839A0C" w14:textId="77777777" w:rsidR="00893C7E" w:rsidRDefault="00000000">
      <w:pPr>
        <w:pStyle w:val="Ttulo1"/>
        <w:spacing w:before="300" w:after="150"/>
      </w:pPr>
      <w:r>
        <w:t>5. Próximos passos</w:t>
      </w:r>
    </w:p>
    <w:p w14:paraId="2EB9882A" w14:textId="77777777" w:rsidR="00893C7E" w:rsidRDefault="00000000">
      <w:pPr>
        <w:pStyle w:val="PargrafodaLista"/>
        <w:numPr>
          <w:ilvl w:val="0"/>
          <w:numId w:val="1"/>
        </w:numPr>
        <w:spacing w:after="60"/>
      </w:pPr>
      <w:r>
        <w:t xml:space="preserve">Retomar o lote do </w:t>
      </w:r>
      <w:proofErr w:type="spellStart"/>
      <w:r>
        <w:t>TaxOnTree</w:t>
      </w:r>
      <w:proofErr w:type="spellEnd"/>
      <w:r>
        <w:t xml:space="preserve"> para os genes/combinações pendentes, assim que o NCBI liberar as submissões.</w:t>
      </w:r>
    </w:p>
    <w:p w14:paraId="1EA989E1" w14:textId="77777777" w:rsidR="00893C7E" w:rsidRDefault="00000000">
      <w:pPr>
        <w:pStyle w:val="PargrafodaLista"/>
        <w:numPr>
          <w:ilvl w:val="0"/>
          <w:numId w:val="1"/>
        </w:numPr>
        <w:spacing w:after="60"/>
      </w:pPr>
      <w:r>
        <w:t>Com a conservação evolutiva disponível para os 17 genes, atualizar a tabela integrada da seção 3.4 com um quarto eixo e testar formalmente a correlação conservação × especificidade/desregulação (</w:t>
      </w:r>
      <w:proofErr w:type="spellStart"/>
      <w:r>
        <w:t>Spearman</w:t>
      </w:r>
      <w:proofErr w:type="spellEnd"/>
      <w:r>
        <w:t xml:space="preserve">, com </w:t>
      </w:r>
      <w:proofErr w:type="spellStart"/>
      <w:r>
        <w:t>bootstrap</w:t>
      </w:r>
      <w:proofErr w:type="spellEnd"/>
      <w:r>
        <w:t xml:space="preserve"> dado o n pequeno).</w:t>
      </w:r>
    </w:p>
    <w:p w14:paraId="691B2F50" w14:textId="77777777" w:rsidR="00893C7E" w:rsidRDefault="00000000">
      <w:pPr>
        <w:pStyle w:val="PargrafodaLista"/>
        <w:numPr>
          <w:ilvl w:val="0"/>
          <w:numId w:val="1"/>
        </w:numPr>
        <w:spacing w:after="60"/>
      </w:pPr>
      <w:r>
        <w:t xml:space="preserve">Decidir com o orientador se o bug do </w:t>
      </w:r>
      <w:proofErr w:type="spellStart"/>
      <w:r>
        <w:t>TaxOnTree</w:t>
      </w:r>
      <w:proofErr w:type="spellEnd"/>
      <w:r>
        <w:t xml:space="preserve"> deve ser reportado formalmente aos mantenedores da ferramenta.</w:t>
      </w:r>
    </w:p>
    <w:p w14:paraId="4B21623E" w14:textId="710D083E" w:rsidR="00893C7E" w:rsidRDefault="00000000" w:rsidP="00BC24A5">
      <w:pPr>
        <w:pStyle w:val="PargrafodaLista"/>
        <w:numPr>
          <w:ilvl w:val="0"/>
          <w:numId w:val="1"/>
        </w:numPr>
        <w:spacing w:after="60"/>
      </w:pPr>
      <w:r>
        <w:t xml:space="preserve">Corrigir o artefato de prompt vazado no README e resolver a lacuna de metodologia do </w:t>
      </w:r>
      <w:proofErr w:type="spellStart"/>
      <w:r>
        <w:t>RNAseq.R</w:t>
      </w:r>
      <w:proofErr w:type="spellEnd"/>
      <w:r>
        <w:t xml:space="preserve"> antes de qualquer submissão que cite esse repositório.</w:t>
      </w:r>
    </w:p>
    <w:sectPr w:rsidR="00893C7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0221B"/>
    <w:multiLevelType w:val="hybridMultilevel"/>
    <w:tmpl w:val="9C70FEE6"/>
    <w:lvl w:ilvl="0" w:tplc="7AF0C2B8">
      <w:start w:val="1"/>
      <w:numFmt w:val="bullet"/>
      <w:lvlText w:val="●"/>
      <w:lvlJc w:val="left"/>
      <w:pPr>
        <w:ind w:left="720" w:hanging="360"/>
      </w:pPr>
    </w:lvl>
    <w:lvl w:ilvl="1" w:tplc="A3B4CFA2">
      <w:start w:val="1"/>
      <w:numFmt w:val="bullet"/>
      <w:lvlText w:val="○"/>
      <w:lvlJc w:val="left"/>
      <w:pPr>
        <w:ind w:left="1440" w:hanging="360"/>
      </w:pPr>
    </w:lvl>
    <w:lvl w:ilvl="2" w:tplc="1CF07D0E">
      <w:start w:val="1"/>
      <w:numFmt w:val="bullet"/>
      <w:lvlText w:val="■"/>
      <w:lvlJc w:val="left"/>
      <w:pPr>
        <w:ind w:left="2160" w:hanging="360"/>
      </w:pPr>
    </w:lvl>
    <w:lvl w:ilvl="3" w:tplc="E244F872">
      <w:start w:val="1"/>
      <w:numFmt w:val="bullet"/>
      <w:lvlText w:val="●"/>
      <w:lvlJc w:val="left"/>
      <w:pPr>
        <w:ind w:left="2880" w:hanging="360"/>
      </w:pPr>
    </w:lvl>
    <w:lvl w:ilvl="4" w:tplc="F05486F2">
      <w:start w:val="1"/>
      <w:numFmt w:val="bullet"/>
      <w:lvlText w:val="○"/>
      <w:lvlJc w:val="left"/>
      <w:pPr>
        <w:ind w:left="3600" w:hanging="360"/>
      </w:pPr>
    </w:lvl>
    <w:lvl w:ilvl="5" w:tplc="6DF6EB1C">
      <w:start w:val="1"/>
      <w:numFmt w:val="bullet"/>
      <w:lvlText w:val="■"/>
      <w:lvlJc w:val="left"/>
      <w:pPr>
        <w:ind w:left="4320" w:hanging="360"/>
      </w:pPr>
    </w:lvl>
    <w:lvl w:ilvl="6" w:tplc="1D025ABE">
      <w:start w:val="1"/>
      <w:numFmt w:val="bullet"/>
      <w:lvlText w:val="●"/>
      <w:lvlJc w:val="left"/>
      <w:pPr>
        <w:ind w:left="5040" w:hanging="360"/>
      </w:pPr>
    </w:lvl>
    <w:lvl w:ilvl="7" w:tplc="C23039D0">
      <w:start w:val="1"/>
      <w:numFmt w:val="bullet"/>
      <w:lvlText w:val="●"/>
      <w:lvlJc w:val="left"/>
      <w:pPr>
        <w:ind w:left="5760" w:hanging="360"/>
      </w:pPr>
    </w:lvl>
    <w:lvl w:ilvl="8" w:tplc="3BF8F5BE">
      <w:start w:val="1"/>
      <w:numFmt w:val="bullet"/>
      <w:lvlText w:val="●"/>
      <w:lvlJc w:val="left"/>
      <w:pPr>
        <w:ind w:left="6480" w:hanging="360"/>
      </w:pPr>
    </w:lvl>
  </w:abstractNum>
  <w:num w:numId="1" w16cid:durableId="1160468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C7E"/>
    <w:rsid w:val="00335262"/>
    <w:rsid w:val="003B6CB7"/>
    <w:rsid w:val="00827AAB"/>
    <w:rsid w:val="00893C7E"/>
    <w:rsid w:val="00BC24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5BB7"/>
  <w15:docId w15:val="{2D039294-6B71-4256-833D-C8E4C20F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3592</Words>
  <Characters>19399</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Matheus Medeiros</cp:lastModifiedBy>
  <cp:revision>3</cp:revision>
  <dcterms:created xsi:type="dcterms:W3CDTF">2026-08-23T22:36:00Z</dcterms:created>
  <dcterms:modified xsi:type="dcterms:W3CDTF">2026-08-23T23:03:00Z</dcterms:modified>
</cp:coreProperties>
</file>