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eastAsia="SimSun" w:hAnsi="Times New Roman"/>
          <w:b/>
          <w:bCs/>
          <w:sz w:val="36"/>
          <w:szCs w:val="36"/>
        </w:rPr>
        <w:t xml:space="preserve">软件服务协议（修订版）</w:t>
      </w:r>
    </w:p>
    <w:p>
      <w:pPr>
        <w:spacing w:after="120" w:line="360"/>
      </w:pPr>
      <w:r>
        <w:rPr>
          <w:rFonts w:ascii="Times New Roman" w:eastAsia="SimSun" w:hAnsi="Times New Roman"/>
          <w:sz w:val="22"/>
          <w:szCs w:val="22"/>
        </w:rPr>
        <w:t xml:space="preserve">本协议由甲方：</w:t>
      </w:r>
      <w:r>
        <w:rPr>
          <w:rFonts w:ascii="Times New Roman" w:eastAsia="SimSun" w:hAnsi="Times New Roman"/>
          <w:b/>
          <w:bCs/>
          <w:sz w:val="22"/>
          <w:szCs w:val="22"/>
        </w:rPr>
        <w:t xml:space="preserve">星河科技有限公司</w:t>
      </w:r>
      <w:r>
        <w:rPr>
          <w:rFonts w:ascii="Times New Roman" w:eastAsia="SimSun" w:hAnsi="Times New Roman"/>
          <w:sz w:val="22"/>
          <w:szCs w:val="22"/>
        </w:rPr>
        <w:t xml:space="preserve"> 与乙方：</w:t>
      </w:r>
      <w:r>
        <w:rPr>
          <w:rFonts w:ascii="Times New Roman" w:eastAsia="SimSun" w:hAnsi="Times New Roman"/>
          <w:b/>
          <w:bCs/>
          <w:sz w:val="22"/>
          <w:szCs w:val="22"/>
        </w:rPr>
        <w:t xml:space="preserve">北辰数据服务有限公司</w:t>
      </w:r>
      <w:r>
        <w:rPr>
          <w:rFonts w:ascii="Times New Roman" w:eastAsia="SimSun" w:hAnsi="Times New Roman"/>
          <w:sz w:val="22"/>
          <w:szCs w:val="22"/>
        </w:rPr>
        <w:t xml:space="preserve">于 2026 年 4 月 1 日签订。</w:t>
      </w:r>
    </w:p>
    <w:p>
      <w:pPr>
        <w:pStyle w:val="Heading2"/>
        <w:spacing w:after="120" w:before="240"/>
      </w:pPr>
      <w:r>
        <w:rPr>
          <w:rFonts w:ascii="Times New Roman" w:eastAsia="SimSun" w:hAnsi="Times New Roman"/>
          <w:b/>
          <w:bCs/>
          <w:sz w:val="26"/>
          <w:szCs w:val="26"/>
        </w:rPr>
        <w:t xml:space="preserve">第一条 服务内容</w:t>
      </w:r>
    </w:p>
    <w:p>
      <w:pPr>
        <w:spacing w:after="120" w:line="360"/>
      </w:pPr>
      <w:r>
        <w:rPr>
          <w:rFonts w:ascii="Times New Roman" w:eastAsia="SimSun" w:hAnsi="Times New Roman"/>
          <w:sz w:val="22"/>
          <w:szCs w:val="22"/>
        </w:rPr>
        <w:t xml:space="preserve">乙方向甲方提供数据分析平台的部署、运维及技术支持服务，服务期限为二十四个月。</w:t>
      </w:r>
    </w:p>
    <w:p>
      <w:pPr>
        <w:spacing w:after="120" w:line="360"/>
      </w:pPr>
      <w:r>
        <w:rPr>
          <w:rFonts w:ascii="Times New Roman" w:eastAsia="SimSun" w:hAnsi="Times New Roman"/>
          <w:sz w:val="22"/>
          <w:szCs w:val="22"/>
        </w:rPr>
        <w:t xml:space="preserve">服务包括以下内容：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sz w:val="22"/>
          <w:szCs w:val="22"/>
        </w:rPr>
        <w:t xml:space="preserve">平台安装与初始化配置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sz w:val="22"/>
          <w:szCs w:val="22"/>
        </w:rPr>
        <w:t xml:space="preserve">每周一次系统巡检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sz w:val="22"/>
          <w:szCs w:val="22"/>
        </w:rPr>
        <w:t xml:space="preserve">7×24 小时故障响应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sz w:val="22"/>
          <w:szCs w:val="22"/>
        </w:rPr>
        <w:t xml:space="preserve">年度安全审计报告</w:t>
      </w:r>
    </w:p>
    <w:p>
      <w:pPr>
        <w:pStyle w:val="Heading2"/>
        <w:spacing w:after="120" w:before="240"/>
      </w:pPr>
      <w:r>
        <w:rPr>
          <w:rFonts w:ascii="Times New Roman" w:eastAsia="SimSun" w:hAnsi="Times New Roman"/>
          <w:b/>
          <w:bCs/>
          <w:sz w:val="26"/>
          <w:szCs w:val="26"/>
        </w:rPr>
        <w:t xml:space="preserve">第二条 费用与支付</w:t>
      </w:r>
    </w:p>
    <w:p>
      <w:pPr>
        <w:spacing w:after="120" w:line="360"/>
      </w:pPr>
      <w:r>
        <w:rPr>
          <w:rFonts w:ascii="Times New Roman" w:eastAsia="SimSun" w:hAnsi="Times New Roman"/>
          <w:sz w:val="22"/>
          <w:szCs w:val="22"/>
        </w:rPr>
        <w:t xml:space="preserve">服务总费用为人民币 198,000 元（含税）</w:t>
      </w:r>
      <w:r>
        <w:rPr>
          <w:rStyle w:val="FootnoteReference"/>
        </w:rPr>
        <w:footnoteReference w:id="1"/>
      </w:r>
      <w:r>
        <w:rPr>
          <w:rFonts w:ascii="Times New Roman" w:eastAsia="SimSun" w:hAnsi="Times New Roman"/>
          <w:sz w:val="22"/>
          <w:szCs w:val="22"/>
        </w:rPr>
        <w:t xml:space="preserve">，甲方应在合同签订后 15 日内支付首期款项。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pct" w:w="33%"/>
          </w:tcPr>
          <w:p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比例</w:t>
            </w:r>
          </w:p>
        </w:tc>
        <w:tc>
          <w:tcPr>
            <w:tcW w:type="pct" w:w="33%"/>
          </w:tcPr>
          <w:p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金额（元）</w:t>
            </w:r>
          </w:p>
        </w:tc>
      </w:tr>
      <w:tr>
        <w:tc>
          <w:tcPr>
            <w:tcW w:type="pct" w:w="33%"/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2"/>
                <w:szCs w:val="22"/>
              </w:rPr>
              <w:t xml:space="preserve">首期</w:t>
            </w:r>
          </w:p>
        </w:tc>
        <w:tc>
          <w:tcPr>
            <w:tcW w:type="pct" w:w="33%"/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2"/>
                <w:szCs w:val="22"/>
              </w:rPr>
              <w:t xml:space="preserve">50%</w:t>
            </w:r>
          </w:p>
        </w:tc>
        <w:tc>
          <w:tcPr>
            <w:tcW w:type="pct" w:w="33%"/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2"/>
                <w:szCs w:val="22"/>
              </w:rPr>
              <w:t xml:space="preserve">99,000</w:t>
            </w:r>
          </w:p>
        </w:tc>
      </w:tr>
      <w:tr>
        <w:tc>
          <w:tcPr>
            <w:tcW w:type="pct" w:w="33%"/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2"/>
                <w:szCs w:val="22"/>
              </w:rPr>
              <w:t xml:space="preserve">尾款</w:t>
            </w:r>
          </w:p>
        </w:tc>
        <w:tc>
          <w:tcPr>
            <w:tcW w:type="pct" w:w="33%"/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2"/>
                <w:szCs w:val="22"/>
              </w:rPr>
              <w:t xml:space="preserve">50%</w:t>
            </w:r>
          </w:p>
        </w:tc>
        <w:tc>
          <w:tcPr>
            <w:tcW w:type="pct" w:w="33%"/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2"/>
                <w:szCs w:val="22"/>
              </w:rPr>
              <w:t xml:space="preserve">99,000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eastAsia="SimSun" w:hAnsi="Times New Roman"/>
          <w:b/>
          <w:bCs/>
          <w:sz w:val="26"/>
          <w:szCs w:val="26"/>
        </w:rPr>
        <w:t xml:space="preserve">第三条 保密</w:t>
      </w:r>
    </w:p>
    <w:p>
      <w:pPr>
        <w:spacing w:after="120" w:line="360"/>
      </w:pPr>
      <w:r>
        <w:rPr>
          <w:rFonts w:ascii="Times New Roman" w:eastAsia="SimSun" w:hAnsi="Times New Roman"/>
          <w:sz w:val="22"/>
          <w:szCs w:val="22"/>
        </w:rPr>
        <w:t xml:space="preserve">双方应对在履行本协议过程中知悉的对方商业秘密承担保密义务，保密期限为协议终止后五年。</w:t>
      </w:r>
    </w:p>
    <w:p>
      <w:pPr>
        <w:pStyle w:val="Heading2"/>
        <w:spacing w:after="120" w:before="240"/>
      </w:pPr>
      <w:r>
        <w:rPr>
          <w:rFonts w:ascii="Times New Roman" w:eastAsia="SimSun" w:hAnsi="Times New Roman"/>
          <w:b/>
          <w:bCs/>
          <w:sz w:val="26"/>
          <w:szCs w:val="26"/>
        </w:rPr>
        <w:t xml:space="preserve">第四条 违约责任</w:t>
      </w:r>
    </w:p>
    <w:p>
      <w:pPr>
        <w:spacing w:after="120" w:line="360"/>
      </w:pPr>
      <w:r>
        <w:rPr>
          <w:rFonts w:ascii="Times New Roman" w:eastAsia="SimSun" w:hAnsi="Times New Roman"/>
          <w:sz w:val="22"/>
          <w:szCs w:val="22"/>
        </w:rPr>
        <w:t xml:space="preserve">任何一方违约，应向守约方支付违约金，违约金为合同总价的 20%。</w:t>
      </w:r>
    </w:p>
    <w:p>
      <w:pPr>
        <w:spacing w:after="120" w:line="360"/>
      </w:pPr>
      <w:r>
        <w:rPr>
          <w:rFonts w:ascii="Times New Roman" w:eastAsia="SimSun" w:hAnsi="Times New Roman"/>
          <w:sz w:val="22"/>
          <w:szCs w:val="22"/>
        </w:rPr>
        <w:t xml:space="preserve">乙方的累计赔偿责任上限为本协议项下甲方已支付费用的总额。</w:t>
      </w:r>
    </w:p>
    <w:p>
      <w:pPr>
        <w:pStyle w:val="Heading2"/>
        <w:spacing w:after="120" w:before="240"/>
      </w:pPr>
      <w:r>
        <w:rPr>
          <w:rFonts w:ascii="Times New Roman" w:eastAsia="SimSun" w:hAnsi="Times New Roman"/>
          <w:b/>
          <w:bCs/>
          <w:sz w:val="26"/>
          <w:szCs w:val="26"/>
        </w:rPr>
        <w:t xml:space="preserve">第五条 协议解除</w:t>
      </w:r>
    </w:p>
    <w:p>
      <w:pPr>
        <w:spacing w:after="120" w:line="360"/>
      </w:pPr>
      <w:r>
        <w:rPr>
          <w:rFonts w:ascii="Times New Roman" w:eastAsia="SimSun" w:hAnsi="Times New Roman"/>
          <w:sz w:val="22"/>
          <w:szCs w:val="22"/>
        </w:rPr>
        <w:t xml:space="preserve">一方严重违约且在收到书面通知后 10 日内未纠正的，另一方有权解除本协议。</w:t>
      </w:r>
    </w:p>
    <w:p>
      <w:pPr>
        <w:pStyle w:val="Heading2"/>
        <w:spacing w:after="120" w:before="240"/>
      </w:pPr>
      <w:r>
        <w:rPr>
          <w:rFonts w:ascii="Times New Roman" w:eastAsia="SimSun" w:hAnsi="Times New Roman"/>
          <w:b/>
          <w:bCs/>
          <w:sz w:val="26"/>
          <w:szCs w:val="26"/>
        </w:rPr>
        <w:t xml:space="preserve">第六条 其他</w:t>
      </w:r>
    </w:p>
    <w:p>
      <w:pPr>
        <w:spacing w:after="120" w:line="360"/>
      </w:pPr>
      <w:r>
        <w:rPr>
          <w:rFonts w:ascii="Times New Roman" w:eastAsia="SimSun" w:hAnsi="Times New Roman"/>
          <w:sz w:val="22"/>
          <w:szCs w:val="22"/>
        </w:rPr>
        <w:t xml:space="preserve">本协议自双方签字盖章之日起生效。</w:t>
      </w:r>
    </w:p>
    <w:p>
      <w:pPr>
        <w:spacing w:after="120" w:line="360"/>
      </w:pPr>
      <w:r>
        <w:rPr>
          <w:rFonts w:ascii="Times New Roman" w:eastAsia="SimSun" w:hAnsi="Times New Roman"/>
          <w:sz w:val="22"/>
          <w:szCs w:val="22"/>
        </w:rPr>
        <w:t xml:space="preserve">本协议一式两份，双方各执一份，</w:t>
      </w:r>
      <w:r>
        <w:rPr>
          <w:rFonts w:ascii="Times New Roman" w:eastAsia="SimSun" w:hAnsi="Times New Roman"/>
          <w:b/>
          <w:bCs/>
          <w:sz w:val="22"/>
          <w:szCs w:val="22"/>
        </w:rPr>
        <w:t xml:space="preserve">具有同等法律效力</w:t>
      </w:r>
      <w:r>
        <w:rPr>
          <w:rFonts w:ascii="Times New Roman" w:eastAsia="SimSun" w:hAnsi="Times New Roman"/>
          <w:sz w:val="22"/>
          <w:szCs w:val="22"/>
        </w:rPr>
        <w:t xml:space="preserve">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SimSun" w:hAnsi="Times New Roma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Fonts w:ascii="Times New Roman" w:eastAsia="SimSun" w:hAnsi="Times New Roman"/>
          <w:sz w:val="18"/>
          <w:szCs w:val="18"/>
        </w:rPr>
        <w:t xml:space="preserve">服务费用含增值税，税率按 9% 计算。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 w:hAnsi="Times New Roman"/>
        <w:color w:val="666666"/>
        <w:sz w:val="18"/>
        <w:szCs w:val="18"/>
      </w:rPr>
      <w:t xml:space="preserve">星河科技 × 北辰数据 · 软件服务协议（修订版）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软件服务协议</dc:title>
  <dc:creator>北辰数据法务部</dc:creator>
  <cp:lastModifiedBy>北辰数据法务部</cp:lastModifiedBy>
  <cp:revision>1</cp:revision>
  <dcterms:created xsi:type="dcterms:W3CDTF">2026-10-12T06:02:40.922Z</dcterms:created>
  <dcterms:modified xsi:type="dcterms:W3CDTF">2026-10-12T06:02:40.922Z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