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A13522" w:rsidRDefault="00A13522"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wps:txbx>
                        <wps:bodyPr wrap="square" rtlCol="0">
                          <a:noAutofit/>
                        </wps:bodyPr>
                      </wps:wsp>
                      <wps:wsp>
                        <wps:cNvPr id="9" name="Tekstvak 16"/>
                        <wps:cNvSpPr txBox="1"/>
                        <wps:spPr>
                          <a:xfrm>
                            <a:off x="0" y="813574"/>
                            <a:ext cx="699917" cy="276999"/>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A13522" w:rsidRDefault="00A13522"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“File|Save”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“File|Open”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ser-case):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D900F8" w:rsidRDefault="00D900F8" w:rsidP="00ED15D0">
      <w:pPr>
        <w:pStyle w:val="Lijstalinea"/>
        <w:numPr>
          <w:ilvl w:val="0"/>
          <w:numId w:val="26"/>
        </w:numPr>
        <w:spacing w:line="240" w:lineRule="auto"/>
      </w:pPr>
      <w:r>
        <w:t>As a good practice, the creation of objects is separated from the usage of the objects. This is reflected in the design, by grouping this facet of the application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high-level activities that are present in the system are presented in the next figure 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665A45" w:rsidP="00FB160C">
      <w:pPr>
        <w:spacing w:line="240" w:lineRule="auto"/>
        <w:jc w:val="center"/>
      </w:pPr>
      <w:r>
        <w:rPr>
          <w:noProof/>
          <w:lang w:val="nl-NL"/>
        </w:rPr>
        <w:lastRenderedPageBreak/>
        <w:drawing>
          <wp:inline distT="0" distB="0" distL="0" distR="0">
            <wp:extent cx="6188710" cy="7628742"/>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7628742"/>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4274B2" w:rsidP="0082644E">
      <w:pPr>
        <w:spacing w:line="240" w:lineRule="auto"/>
        <w:sectPr w:rsidR="004274B2" w:rsidSect="00B20C8D">
          <w:type w:val="continuous"/>
          <w:pgSz w:w="11906" w:h="16838" w:code="9"/>
          <w:pgMar w:top="1440" w:right="1077" w:bottom="1440" w:left="3515" w:header="720" w:footer="720" w:gutter="0"/>
          <w:cols w:space="720"/>
          <w:docGrid w:linePitch="272"/>
        </w:sectPr>
      </w:pPr>
    </w:p>
    <w:p w:rsidR="0082644E" w:rsidRDefault="00AD6408" w:rsidP="0082644E">
      <w:pPr>
        <w:spacing w:line="240" w:lineRule="auto"/>
        <w:jc w:val="center"/>
      </w:pPr>
      <w:r>
        <w:rPr>
          <w:noProof/>
          <w:lang w:val="nl-NL"/>
        </w:rPr>
        <w:lastRenderedPageBreak/>
        <w:drawing>
          <wp:inline distT="0" distB="0" distL="0" distR="0">
            <wp:extent cx="6188710" cy="8251613"/>
            <wp:effectExtent l="0" t="0" r="254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8251613"/>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516A4E">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r>
              <w:rPr>
                <w:i/>
              </w:rPr>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855C60" w:rsidRDefault="00855C60" w:rsidP="00A13522">
            <w:pPr>
              <w:rPr>
                <w:i/>
              </w:rPr>
            </w:pPr>
            <w:r>
              <w:rPr>
                <w:i/>
              </w:rPr>
              <w:lastRenderedPageBreak/>
              <w:t>Bridge Pattern</w:t>
            </w:r>
          </w:p>
          <w:p w:rsidR="00BA4948" w:rsidRDefault="00BA4948" w:rsidP="00A13522">
            <w:pPr>
              <w:rPr>
                <w:i/>
              </w:rPr>
            </w:pPr>
          </w:p>
          <w:p w:rsidR="00BA4948" w:rsidRDefault="00BA4948" w:rsidP="00A13522">
            <w:pPr>
              <w:rPr>
                <w:i/>
              </w:rPr>
            </w:pPr>
          </w:p>
          <w:p w:rsidR="00BA4948" w:rsidRDefault="00BA4948" w:rsidP="00A13522">
            <w:pPr>
              <w:rPr>
                <w:i/>
              </w:rPr>
            </w:pPr>
          </w:p>
          <w:p w:rsidR="00BA4948" w:rsidRDefault="00BA4948" w:rsidP="00A13522">
            <w:pPr>
              <w:rPr>
                <w:i/>
              </w:rPr>
            </w:pPr>
          </w:p>
          <w:p w:rsidR="00BA4948" w:rsidRDefault="00BA4948" w:rsidP="00A13522">
            <w:pPr>
              <w:rPr>
                <w:i/>
              </w:rPr>
            </w:pPr>
          </w:p>
          <w:p w:rsidR="00BA4948" w:rsidRDefault="00BA4948" w:rsidP="00A13522">
            <w:pPr>
              <w:rPr>
                <w:i/>
              </w:rPr>
            </w:pPr>
          </w:p>
          <w:p w:rsidR="00BA4948" w:rsidRPr="00A553E7" w:rsidRDefault="00BA4948" w:rsidP="00A13522">
            <w:pPr>
              <w:rPr>
                <w:i/>
              </w:rPr>
            </w:pPr>
            <w:r>
              <w:rPr>
                <w:i/>
              </w:rPr>
              <w:t>Observer Pattern</w:t>
            </w: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CompositeSlideShowComponent,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p>
          <w:p w:rsidR="006C46B7" w:rsidRDefault="006C46B7" w:rsidP="00A55E82"/>
          <w:p w:rsidR="006C46B7" w:rsidRDefault="006C46B7" w:rsidP="00A55E82">
            <w:r>
              <w:t xml:space="preserve">Actions are implemented through the </w:t>
            </w:r>
            <w:r w:rsidRPr="00CF6E9B">
              <w:rPr>
                <w:b/>
              </w:rPr>
              <w:t>Command Pattern</w:t>
            </w:r>
            <w:r>
              <w:t xml:space="preserve">. The Action as modeled in the above domain </w:t>
            </w:r>
            <w:r w:rsidR="000B2C68">
              <w:t>model</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smaller fine-grained steps into a more integral part. These Actions can be assigned to ActionDecoratedItems during the loading of the Slideshow. When the user clicks for example on a TextItem which is wrapped in an ActionDecoratedItem, the available actions are executed in a sequential manner.</w:t>
            </w:r>
          </w:p>
          <w:p w:rsidR="00B471B6" w:rsidRDefault="00B471B6"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A55E82" w:rsidRPr="00A553E7" w:rsidRDefault="00855C60" w:rsidP="00516A4E">
            <w:r>
              <w:lastRenderedPageBreak/>
              <w:t xml:space="preserve">Then… the DrawingDriver. </w:t>
            </w:r>
            <w:r w:rsidR="001B004C">
              <w:t>T</w:t>
            </w:r>
            <w:r>
              <w: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Slid</w:t>
            </w:r>
            <w:r w:rsidR="001B004C">
              <w:t>e</w:t>
            </w:r>
            <w:r>
              <w:t>Items and implementations of DrawingDrivers are loosely decoupled and can vary accordingly.</w:t>
            </w:r>
            <w:r w:rsidR="00BA4948">
              <w:t xml:space="preserve"> Why this pattern is used, and not the Observer Pattern is explained in TODO …</w:t>
            </w:r>
            <w:r w:rsidR="006761CF" w:rsidRPr="00516A4E">
              <w:rPr>
                <w:i/>
                <w:u w:val="single"/>
              </w:rPr>
              <w:t>It is strongly recommended</w:t>
            </w:r>
            <w:r w:rsidR="00516A4E">
              <w:t xml:space="preserve"> </w:t>
            </w:r>
            <w:r w:rsidR="006761CF">
              <w:t>to first read this section, as this is the most interesting part regarding the decisions taken in the design.</w:t>
            </w:r>
          </w:p>
        </w:tc>
      </w:tr>
    </w:tbl>
    <w:p w:rsidR="00EB242F" w:rsidRDefault="00EB242F">
      <w:pPr>
        <w:spacing w:line="240" w:lineRule="auto"/>
      </w:pPr>
    </w:p>
    <w:p w:rsidR="004274B2" w:rsidRDefault="004274B2">
      <w:pPr>
        <w:spacing w:line="240" w:lineRule="auto"/>
        <w:sectPr w:rsidR="004274B2" w:rsidSect="00EB242F">
          <w:type w:val="continuous"/>
          <w:pgSz w:w="11906" w:h="16838" w:code="9"/>
          <w:pgMar w:top="1440" w:right="1077" w:bottom="1440" w:left="1418" w:header="720" w:footer="720" w:gutter="0"/>
          <w:cols w:space="720"/>
          <w:docGrid w:linePitch="272"/>
        </w:sectPr>
      </w:pPr>
    </w:p>
    <w:p w:rsidR="004274B2" w:rsidRDefault="004274B2">
      <w:pPr>
        <w:spacing w:line="240" w:lineRule="auto"/>
      </w:pPr>
    </w:p>
    <w:p w:rsidR="004274B2" w:rsidRDefault="004274B2">
      <w:pPr>
        <w:spacing w:line="240" w:lineRule="auto"/>
      </w:pPr>
    </w:p>
    <w:p w:rsidR="004274B2" w:rsidRDefault="004274B2">
      <w:pPr>
        <w:spacing w:line="240" w:lineRule="auto"/>
      </w:pPr>
    </w:p>
    <w:p w:rsidR="004274B2" w:rsidRDefault="004274B2">
      <w:pPr>
        <w:spacing w:line="240" w:lineRule="auto"/>
      </w:pPr>
    </w:p>
    <w:p w:rsidR="00A55E82" w:rsidRDefault="00A55E82">
      <w:pPr>
        <w:spacing w:line="240" w:lineRule="auto"/>
      </w:pPr>
    </w:p>
    <w:p w:rsidR="00EB242F" w:rsidRDefault="00EB242F">
      <w:pPr>
        <w:spacing w:line="240" w:lineRule="auto"/>
      </w:pPr>
    </w:p>
    <w:p w:rsidR="00B940DB" w:rsidRDefault="00B940DB">
      <w:pPr>
        <w:spacing w:line="240" w:lineRule="auto"/>
      </w:pPr>
      <w:r>
        <w:br w:type="page"/>
      </w:r>
    </w:p>
    <w:p w:rsidR="00CA7A8F" w:rsidRDefault="00CA7A8F" w:rsidP="002F72EE">
      <w:r>
        <w:lastRenderedPageBreak/>
        <w:t xml:space="preserve">The MVC Pattern will be used to separate </w:t>
      </w:r>
      <w:r w:rsidR="009E7653">
        <w:t>entities</w:t>
      </w:r>
      <w:r>
        <w:t xml:space="preserve"> in</w:t>
      </w:r>
      <w:r w:rsidR="009E7653">
        <w:t>to</w:t>
      </w:r>
      <w:r>
        <w:t xml:space="preserve"> Model, Viewer and Controller entities:</w:t>
      </w:r>
    </w:p>
    <w:p w:rsidR="00CA7A8F" w:rsidRDefault="00CA7A8F">
      <w:pPr>
        <w:spacing w:line="240" w:lineRule="auto"/>
      </w:pPr>
    </w:p>
    <w:p w:rsidR="00CA7A8F" w:rsidRDefault="00CA7A8F">
      <w:pPr>
        <w:spacing w:line="240" w:lineRule="auto"/>
        <w:sectPr w:rsidR="00CA7A8F" w:rsidSect="00EB242F">
          <w:type w:val="continuous"/>
          <w:pgSz w:w="11906" w:h="16838" w:code="9"/>
          <w:pgMar w:top="1440" w:right="1077" w:bottom="1440" w:left="1418" w:header="720" w:footer="720" w:gutter="0"/>
          <w:cols w:space="720"/>
          <w:docGrid w:linePitch="272"/>
        </w:sectPr>
      </w:pPr>
    </w:p>
    <w:p w:rsidR="00CA7A8F" w:rsidRDefault="00B0064E" w:rsidP="009E7653">
      <w:pPr>
        <w:spacing w:line="240" w:lineRule="auto"/>
        <w:jc w:val="center"/>
      </w:pPr>
      <w:r>
        <w:rPr>
          <w:noProof/>
          <w:lang w:val="nl-NL"/>
        </w:rPr>
        <w:lastRenderedPageBreak/>
        <w:drawing>
          <wp:inline distT="0" distB="0" distL="0" distR="0">
            <wp:extent cx="6188710" cy="6595862"/>
            <wp:effectExtent l="0" t="0" r="254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6595862"/>
                    </a:xfrm>
                    <a:prstGeom prst="rect">
                      <a:avLst/>
                    </a:prstGeom>
                    <a:noFill/>
                    <a:ln>
                      <a:noFill/>
                    </a:ln>
                  </pic:spPr>
                </pic:pic>
              </a:graphicData>
            </a:graphic>
          </wp:inline>
        </w:drawing>
      </w:r>
    </w:p>
    <w:p w:rsidR="00A03CE0" w:rsidRPr="00FD3709"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43021F">
      <w:pPr>
        <w:spacing w:line="240" w:lineRule="auto"/>
      </w:pPr>
    </w:p>
    <w:p w:rsidR="0043021F" w:rsidRDefault="0043021F">
      <w:pPr>
        <w:spacing w:line="240" w:lineRule="auto"/>
      </w:pPr>
      <w:r>
        <w:t>Slide/SideItem is responsible for initiating the draw methods in the DrawingDriver according to GRASP-guidelines according to the Expert</w:t>
      </w:r>
      <w:r>
        <w:br w:type="page"/>
      </w:r>
      <w:r>
        <w:lastRenderedPageBreak/>
        <w:t>pattern. Controller entities communicate with the ActionFactory. The responsibility of the ActionFactory is to generate the correct Action entities that know how to perform certain actions. An Action will invoke for example a method on the SlideShow to navigate to the next slide. The SlideShow delegates the responsibility to the Slide.</w:t>
      </w:r>
    </w:p>
    <w:p w:rsidR="0043021F" w:rsidRDefault="0043021F">
      <w:pPr>
        <w:spacing w:line="240" w:lineRule="auto"/>
      </w:pPr>
    </w:p>
    <w:p w:rsidR="00D54D05" w:rsidRDefault="00D54D05">
      <w:pPr>
        <w:spacing w:line="240" w:lineRule="auto"/>
      </w:pPr>
      <w:r>
        <w:t>There is no need for any entities in the Model part of the domain model to be observed for changes. Therefore, Observer Pattern is not necessary in our opinion. One could argue that the invocation of a draw method on the SlideItem for example could be a reason to notify Observers (entities in the View part), but as far as it stands right now, decoupling the Model entities Slide and SlideItem from the View concrete implementation SwingDrawingDriver by using the interface DrawingDriver, is good enough.</w:t>
      </w:r>
    </w:p>
    <w:p w:rsidR="00D54D05" w:rsidRDefault="00D54D05">
      <w:pPr>
        <w:spacing w:line="240" w:lineRule="auto"/>
      </w:pPr>
    </w:p>
    <w:p w:rsidR="001108E8" w:rsidRDefault="001108E8">
      <w:pPr>
        <w:spacing w:line="240" w:lineRule="auto"/>
      </w:pPr>
      <w:r>
        <w:t>The following domain model represents a first attempt to model entities and relationships</w:t>
      </w:r>
      <w:r w:rsidR="00CA7A8F">
        <w:t xml:space="preserve"> in the Model part of the domain</w:t>
      </w:r>
      <w:r>
        <w:t>:</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DF5242">
      <w:pPr>
        <w:spacing w:line="240" w:lineRule="auto"/>
      </w:pPr>
      <w:r>
        <w:rPr>
          <w:noProof/>
          <w:lang w:val="nl-NL"/>
        </w:rPr>
        <w:lastRenderedPageBreak/>
        <w:drawing>
          <wp:inline distT="0" distB="0" distL="0" distR="0">
            <wp:extent cx="5962015" cy="8126006"/>
            <wp:effectExtent l="0" t="0" r="635"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015" cy="8126006"/>
                    </a:xfrm>
                    <a:prstGeom prst="rect">
                      <a:avLst/>
                    </a:prstGeom>
                    <a:noFill/>
                    <a:ln>
                      <a:noFill/>
                    </a:ln>
                  </pic:spPr>
                </pic:pic>
              </a:graphicData>
            </a:graphic>
          </wp:inline>
        </w:drawing>
      </w:r>
    </w:p>
    <w:p w:rsidR="001108E8" w:rsidRPr="00FD3709" w:rsidRDefault="001108E8" w:rsidP="001108E8">
      <w:pPr>
        <w:jc w:val="center"/>
        <w:rPr>
          <w:i/>
        </w:rPr>
      </w:pPr>
      <w:r>
        <w:rPr>
          <w:i/>
        </w:rPr>
        <w:t xml:space="preserve">Figure </w:t>
      </w:r>
      <w:r w:rsidR="00A03CE0">
        <w:rPr>
          <w:i/>
        </w:rPr>
        <w:t>x</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 xml:space="preserve">Actions are attached here to the slide item. A slide item has 0, 1 or more actions attached to it. In case a slide item has an action attached to it, a border should be </w:t>
      </w:r>
      <w:r>
        <w:lastRenderedPageBreak/>
        <w:t>drawn to indicate to the user that clicking on the item will results in 1 or more actions.</w:t>
      </w:r>
    </w:p>
    <w:p w:rsidR="00107669" w:rsidRDefault="00107669">
      <w:pPr>
        <w:spacing w:line="240" w:lineRule="auto"/>
      </w:pPr>
    </w:p>
    <w:p w:rsidR="00C75B5A" w:rsidRDefault="00C75B5A">
      <w:pPr>
        <w:spacing w:line="240" w:lineRule="auto"/>
      </w:pPr>
      <w:r>
        <w:t>BitMapItem and TextItems have different kind of Styles. A TextItem has a TextItemStyle, which includes a font color and a font size, which a BitMapStyle is lacking.</w:t>
      </w:r>
    </w:p>
    <w:p w:rsidR="00C75B5A" w:rsidRDefault="00C75B5A">
      <w:pPr>
        <w:spacing w:line="240" w:lineRule="auto"/>
      </w:pPr>
    </w:p>
    <w:p w:rsidR="00F84CE2" w:rsidRDefault="00F84CE2" w:rsidP="00F84CE2">
      <w:pPr>
        <w:spacing w:line="240" w:lineRule="auto"/>
      </w:pPr>
      <w:r>
        <w:t>In the above domain model, a decorator pattern is used to decorate the bitmap or text item with a border. Actions are attached to the ActionItemDecorator abstract class.</w:t>
      </w:r>
    </w:p>
    <w:p w:rsidR="00F84CE2" w:rsidRDefault="00F84CE2">
      <w:pPr>
        <w:spacing w:line="240" w:lineRule="auto"/>
      </w:pPr>
    </w:p>
    <w:p w:rsidR="00F84CE2" w:rsidRDefault="00F84CE2" w:rsidP="00F84CE2">
      <w:pPr>
        <w:spacing w:line="240" w:lineRule="auto"/>
      </w:pPr>
      <w:r>
        <w:t>An alternative to this could be the figure that is depicted in the following figure, where no Decorator Pattern is used. In this situation, A SlideItem has 0, 1 or more Actions attached to it by means of a composition.</w:t>
      </w: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107669" w:rsidRDefault="00107669" w:rsidP="00DF5242">
      <w:pPr>
        <w:sectPr w:rsidR="00107669" w:rsidSect="00B20C8D">
          <w:type w:val="continuous"/>
          <w:pgSz w:w="11906" w:h="16838" w:code="9"/>
          <w:pgMar w:top="1440" w:right="1077" w:bottom="1440" w:left="3515" w:header="720" w:footer="720" w:gutter="0"/>
          <w:cols w:space="720"/>
          <w:docGrid w:linePitch="272"/>
        </w:sectPr>
      </w:pPr>
      <w:r>
        <w:br w:type="page"/>
      </w:r>
    </w:p>
    <w:p w:rsidR="001108E8" w:rsidRDefault="001108E8">
      <w:pPr>
        <w:spacing w:line="240" w:lineRule="auto"/>
      </w:pPr>
    </w:p>
    <w:p w:rsidR="001108E8" w:rsidRDefault="0019711F" w:rsidP="00D20D14">
      <w:pPr>
        <w:spacing w:line="240" w:lineRule="auto"/>
        <w:jc w:val="center"/>
      </w:pPr>
      <w:r>
        <w:rPr>
          <w:noProof/>
          <w:lang w:val="nl-NL"/>
        </w:rPr>
        <w:drawing>
          <wp:inline distT="0" distB="0" distL="0" distR="0">
            <wp:extent cx="5048250" cy="54292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sidR="00A03CE0">
        <w:rPr>
          <w:i/>
        </w:rPr>
        <w:t>x</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D176CC" w:rsidRDefault="00D176CC">
      <w:pPr>
        <w:spacing w:line="240" w:lineRule="auto"/>
      </w:pPr>
    </w:p>
    <w:p w:rsidR="00F84CE2" w:rsidRDefault="00F84CE2">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CA7A8F" w:rsidRDefault="00CA7A8F">
      <w:pPr>
        <w:spacing w:line="240" w:lineRule="auto"/>
      </w:pPr>
    </w:p>
    <w:p w:rsidR="00CA7A8F" w:rsidRDefault="00CA7A8F">
      <w:pPr>
        <w:spacing w:line="240" w:lineRule="auto"/>
      </w:pPr>
      <w:r>
        <w:t>As it looks like right, we will go for the Decorator Pattern.</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rsidP="00FB160C">
      <w:pPr>
        <w:spacing w:line="240" w:lineRule="auto"/>
        <w:jc w:val="center"/>
      </w:pPr>
      <w:r>
        <w:rPr>
          <w:noProof/>
          <w:lang w:val="nl-NL"/>
        </w:rPr>
        <w:drawing>
          <wp:inline distT="0" distB="0" distL="0" distR="0">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The following figure shows how slide items and slides in the domain model are separated from the drawing implementations. The idea is that in the future perhaps other implementations are introduced, like JavaFx, In that case, only an extra JavaFXDrawingDriver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Slide/SlideItem Bridge to DrawingDriver</w:t>
      </w:r>
    </w:p>
    <w:p w:rsidR="00E439C1" w:rsidRDefault="00E439C1">
      <w:pPr>
        <w:spacing w:line="240" w:lineRule="auto"/>
      </w:pPr>
    </w:p>
    <w:p w:rsidR="00E439C1" w:rsidRDefault="00E439C1">
      <w:pPr>
        <w:spacing w:line="240" w:lineRule="auto"/>
      </w:pPr>
      <w:r>
        <w:t xml:space="preserve">Slide and SlideItem are entities that belong to the Model part of the MVC Pattern. Model entities should not have direct </w:t>
      </w:r>
      <w:r w:rsidR="005F4C79">
        <w:t xml:space="preserve">navigable </w:t>
      </w:r>
      <w:r>
        <w:t>references to Controller and View entities. That is additional reason to introduce the DrawingDriver.</w:t>
      </w:r>
      <w:r>
        <w:br w:type="page"/>
      </w:r>
    </w:p>
    <w:p w:rsidR="00E439C1" w:rsidRDefault="00E439C1">
      <w:pPr>
        <w:spacing w:line="240" w:lineRule="auto"/>
      </w:pPr>
    </w:p>
    <w:p w:rsidR="00260190" w:rsidRDefault="00260190" w:rsidP="00260190">
      <w:pPr>
        <w:pStyle w:val="Kop2"/>
      </w:pPr>
      <w:r>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9A59C4" w:rsidP="009A59C4">
      <w:pPr>
        <w:pStyle w:val="Kop3"/>
      </w:pPr>
      <w:r>
        <w:t>Bridge Pattern vs. Observer Pattern regarding View/Model decoupling</w:t>
      </w:r>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t>notify method that in turn will cause an update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164806DC" wp14:editId="643BF2DF">
            <wp:extent cx="5664835" cy="4793322"/>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935" cy="4795945"/>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595D4D"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sidR="00AF69D5">
        <w:rPr>
          <w:i/>
        </w:rPr>
        <w:t>D</w:t>
      </w:r>
      <w:r>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lastRenderedPageBreak/>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9C6536" w:rsidRDefault="009C6536" w:rsidP="009C6536">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SlideItems, the current slide number, the total number of slides, the colors and lines, everything</w:t>
      </w:r>
      <w:r w:rsidR="00E74C6C">
        <w:rPr>
          <w:rStyle w:val="Nadruk"/>
          <w:i w:val="0"/>
        </w:rPr>
        <w:t xml:space="preserve"> with the Swing library</w:t>
      </w:r>
      <w:r w:rsidR="00B457C0">
        <w:rPr>
          <w:rStyle w:val="Nadruk"/>
          <w:i w:val="0"/>
        </w:rPr>
        <w:t>.</w:t>
      </w:r>
      <w:r w:rsidR="00B555CA">
        <w:rPr>
          <w:rStyle w:val="Nadruk"/>
          <w:i w:val="0"/>
        </w:rPr>
        <w:t xml:space="preserve"> But another implementation might</w:t>
      </w:r>
      <w:r w:rsidR="00B457C0">
        <w:rPr>
          <w:rStyle w:val="Nadruk"/>
          <w:i w:val="0"/>
        </w:rPr>
        <w:t xml:space="preserve"> </w:t>
      </w:r>
      <w:r w:rsidR="00B555CA">
        <w:rPr>
          <w:rStyle w:val="Nadruk"/>
          <w:i w:val="0"/>
        </w:rPr>
        <w:t>be the JavaFxDrawingDriver. It adheres to the same contract; it just manages other bolt</w:t>
      </w:r>
      <w:r w:rsidR="00E74C6C">
        <w:rPr>
          <w:rStyle w:val="Nadruk"/>
          <w:i w:val="0"/>
        </w:rPr>
        <w:t>s, nuts and screws</w:t>
      </w:r>
      <w:r w:rsidR="007273F4">
        <w:rPr>
          <w:rStyle w:val="Nadruk"/>
          <w:i w:val="0"/>
        </w:rPr>
        <w:t xml:space="preserve"> by using JavaFx. It needs to be noted that also Slideshow and Slide can use the DrawingDriver, but in these cases they both have o</w:t>
      </w:r>
      <w:r w:rsidR="00711044">
        <w:rPr>
          <w:rStyle w:val="Nadruk"/>
          <w:i w:val="0"/>
        </w:rPr>
        <w:t>nly one concrete implementation</w:t>
      </w:r>
      <w:r w:rsidR="003D634E">
        <w:rPr>
          <w:rStyle w:val="Nadruk"/>
          <w:i w:val="0"/>
        </w:rPr>
        <w:t xml:space="preserve"> of the abstraction</w:t>
      </w:r>
      <w:r w:rsidR="00711044">
        <w:rPr>
          <w:rStyle w:val="Nadruk"/>
          <w:i w:val="0"/>
        </w:rPr>
        <w:t>. If the Bridge Pattern is applied, the diagram will look like this:</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711044" w:rsidRDefault="00711044">
      <w:pPr>
        <w:spacing w:line="240" w:lineRule="auto"/>
        <w:rPr>
          <w:rStyle w:val="Nadruk"/>
          <w:i w:val="0"/>
        </w:rPr>
      </w:pPr>
      <w:r>
        <w:rPr>
          <w:rStyle w:val="Nadruk"/>
          <w:i w:val="0"/>
        </w:rPr>
        <w:br w:type="page"/>
      </w:r>
      <w:r w:rsidR="00AF69D5">
        <w:rPr>
          <w:rStyle w:val="Nadruk"/>
          <w:i w:val="0"/>
        </w:rPr>
        <w:lastRenderedPageBreak/>
        <w:t>The Slideshow is the Information Expert, according to the GRASP-guideline (</w:t>
      </w:r>
      <w:r w:rsidR="008274FB">
        <w:rPr>
          <w:rStyle w:val="Nadruk"/>
          <w:i w:val="0"/>
        </w:rPr>
        <w:t xml:space="preserve">TODO </w:t>
      </w:r>
      <w:r w:rsidR="00AF69D5">
        <w:rPr>
          <w:rStyle w:val="Nadruk"/>
          <w:i w:val="0"/>
        </w:rPr>
        <w:t xml:space="preserve">Larman, 2005, pg. 283). The Slideshow knows about its own information, it knows about the Slides, the current Slide. The Slides knows about its SlideItems and the SlideItems know all about themselves. The Composition Pattern is the best example of how to implement the Information Expert Pattern. It knows how to </w:t>
      </w:r>
      <w:r w:rsidR="00AF69D5" w:rsidRPr="00AF69D5">
        <w:rPr>
          <w:rStyle w:val="Nadruk"/>
        </w:rPr>
        <w:t>orchestrate</w:t>
      </w:r>
      <w:r w:rsidR="00AF69D5">
        <w:rPr>
          <w:rStyle w:val="Nadruk"/>
          <w:i w:val="0"/>
        </w:rPr>
        <w:t xml:space="preserve"> the whole thing. The slideshow is the </w:t>
      </w:r>
      <w:r w:rsidR="00AF69D5" w:rsidRPr="00AF69D5">
        <w:rPr>
          <w:rStyle w:val="Nadruk"/>
        </w:rPr>
        <w:t>maestro</w:t>
      </w:r>
      <w:r w:rsidR="00AF69D5">
        <w:rPr>
          <w:rStyle w:val="Nadruk"/>
          <w:i w:val="0"/>
        </w:rPr>
        <w:t>. The implementations</w:t>
      </w:r>
      <w:r w:rsidR="008274FB">
        <w:rPr>
          <w:rStyle w:val="Nadruk"/>
          <w:i w:val="0"/>
        </w:rPr>
        <w:t xml:space="preserve"> of the DrawingDriver </w:t>
      </w:r>
      <w:r w:rsidR="00AF69D5">
        <w:rPr>
          <w:rStyle w:val="Nadruk"/>
          <w:i w:val="0"/>
        </w:rPr>
        <w:t xml:space="preserve">are just the brass and the woodwinds section of the orchestra. They don’t see the big picture, they </w:t>
      </w:r>
      <w:r w:rsidR="00AF69D5" w:rsidRPr="00AF69D5">
        <w:rPr>
          <w:rStyle w:val="Nadruk"/>
        </w:rPr>
        <w:t>implement</w:t>
      </w:r>
      <w:r w:rsidR="00AF69D5">
        <w:rPr>
          <w:rStyle w:val="Nadruk"/>
          <w:i w:val="0"/>
        </w:rPr>
        <w:t xml:space="preserve"> what the maestro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Of course, best practices say we need to use the Observer Pattern in this case: The View has to react to a change in the model, and the View and Model must be 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1-0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A91FF9" w:rsidRDefault="00A91FF9" w:rsidP="00A91FF9">
      <w:pPr>
        <w:spacing w:line="240" w:lineRule="auto"/>
        <w:rPr>
          <w:rStyle w:val="Nadruk"/>
          <w:i w:val="0"/>
        </w:rPr>
      </w:pPr>
      <w:r>
        <w:rPr>
          <w:rStyle w:val="Nadruk"/>
          <w:i w:val="0"/>
        </w:rPr>
        <w:t xml:space="preserve">When the Bridge Pattern is used, there is a clear predefined sequence of information </w:t>
      </w:r>
      <w:r>
        <w:rPr>
          <w:rStyle w:val="Nadruk"/>
          <w:i w:val="0"/>
        </w:rPr>
        <w:t>“push”</w:t>
      </w:r>
      <w:r>
        <w:rPr>
          <w:rStyle w:val="Nadruk"/>
          <w:i w:val="0"/>
        </w:rPr>
        <w:t xml:space="preserve">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There is a clear o</w:t>
      </w:r>
      <w:r>
        <w:rPr>
          <w:rStyle w:val="Nadruk"/>
          <w:i w:val="0"/>
        </w:rPr>
        <w:t>rchestrational responsibility of the Composition Pattern</w:t>
      </w:r>
      <w:r>
        <w:rPr>
          <w:rStyle w:val="Nadruk"/>
          <w:i w:val="0"/>
        </w:rPr>
        <w:t xml:space="preserve"> that the Slideshow takes. </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maestro as a concept is the abstraction. There might be </w:t>
      </w:r>
      <w:r w:rsidR="002804C5">
        <w:rPr>
          <w:rStyle w:val="Nadruk"/>
          <w:i w:val="0"/>
        </w:rPr>
        <w:t>m</w:t>
      </w:r>
      <w:r>
        <w:rPr>
          <w:rStyle w:val="Nadruk"/>
          <w:i w:val="0"/>
        </w:rPr>
        <w:t>any different kind of maestros, these are the implementations</w:t>
      </w:r>
      <w:r w:rsidR="00B54B7B">
        <w:rPr>
          <w:rStyle w:val="Nadruk"/>
          <w:i w:val="0"/>
        </w:rPr>
        <w:t xml:space="preserve"> of the maestro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bookmarkStart w:id="0" w:name="_GoBack"/>
      <w:bookmarkEnd w:id="0"/>
    </w:p>
    <w:p w:rsidR="00832A7A" w:rsidRDefault="00832A7A">
      <w:pPr>
        <w:spacing w:line="240" w:lineRule="auto"/>
        <w:rPr>
          <w:rStyle w:val="Nadruk"/>
          <w:i w:val="0"/>
        </w:rPr>
      </w:pPr>
    </w:p>
    <w:p w:rsidR="00A13522" w:rsidRDefault="00296566">
      <w:pPr>
        <w:spacing w:line="240" w:lineRule="auto"/>
        <w:rPr>
          <w:rStyle w:val="Nadruk"/>
          <w:i w:val="0"/>
        </w:rPr>
      </w:pPr>
      <w:r>
        <w:rPr>
          <w:rStyle w:val="Nadruk"/>
          <w:i w:val="0"/>
        </w:rPr>
        <w:t>Would be good if there is a text box that needs to be filled and depending on the text a certain other textbox must be filled or a calculation must be redone.</w:t>
      </w:r>
    </w:p>
    <w:p w:rsidR="00296566" w:rsidRDefault="00296566">
      <w:pPr>
        <w:spacing w:line="240" w:lineRule="auto"/>
        <w:rPr>
          <w:rStyle w:val="Nadruk"/>
          <w:i w:val="0"/>
        </w:rPr>
      </w:pPr>
    </w:p>
    <w:p w:rsidR="0021191E" w:rsidRDefault="0021191E">
      <w:pPr>
        <w:spacing w:line="240" w:lineRule="auto"/>
        <w:rPr>
          <w:rStyle w:val="Nadruk"/>
          <w:i w:val="0"/>
        </w:rPr>
      </w:pPr>
    </w:p>
    <w:p w:rsidR="00516A4E" w:rsidRDefault="00516A4E">
      <w:pPr>
        <w:spacing w:line="240" w:lineRule="auto"/>
        <w:rPr>
          <w:rStyle w:val="Nadruk"/>
          <w:i w:val="0"/>
        </w:rPr>
      </w:pPr>
    </w:p>
    <w:p w:rsidR="00516A4E" w:rsidRPr="00516A4E" w:rsidRDefault="00516A4E">
      <w:pPr>
        <w:spacing w:line="240" w:lineRule="auto"/>
        <w:rPr>
          <w:rStyle w:val="Nadruk"/>
          <w:i w:val="0"/>
        </w:rPr>
      </w:pPr>
      <w:r>
        <w:rPr>
          <w:rStyle w:val="Nadruk"/>
          <w:i w:val="0"/>
        </w:rPr>
        <w:t>The model is loosely coupled with the View. No direct calling. Down the drain 1-1</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In our use-case,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We see a pattern slide.. sliditems</w:t>
      </w:r>
    </w:p>
    <w:p w:rsidR="00BE29FA" w:rsidRDefault="00BE29FA">
      <w:pPr>
        <w:spacing w:line="240" w:lineRule="auto"/>
        <w:rPr>
          <w:rStyle w:val="Nadruk"/>
          <w:i w:val="0"/>
        </w:rPr>
      </w:pPr>
    </w:p>
    <w:p w:rsidR="00BE29FA" w:rsidRDefault="00BE29FA">
      <w:pPr>
        <w:spacing w:line="240" w:lineRule="auto"/>
        <w:rPr>
          <w:rStyle w:val="Nadruk"/>
          <w:i w:val="0"/>
        </w:rPr>
      </w:pPr>
    </w:p>
    <w:p w:rsidR="00BE29FA" w:rsidRDefault="00BE29FA">
      <w:pPr>
        <w:spacing w:line="240" w:lineRule="auto"/>
        <w:rPr>
          <w:rStyle w:val="Nadruk"/>
          <w:i w:val="0"/>
        </w:rPr>
      </w:pPr>
    </w:p>
    <w:p w:rsidR="00BE29FA" w:rsidRDefault="00BE29FA">
      <w:pPr>
        <w:spacing w:line="240" w:lineRule="auto"/>
        <w:rPr>
          <w:rStyle w:val="Nadruk"/>
          <w:i w:val="0"/>
        </w:rPr>
      </w:pPr>
    </w:p>
    <w:p w:rsidR="00BE29FA" w:rsidRDefault="00BE29FA">
      <w:pPr>
        <w:spacing w:line="240" w:lineRule="auto"/>
        <w:rPr>
          <w:rStyle w:val="Nadruk"/>
          <w:i w:val="0"/>
        </w:rPr>
      </w:pPr>
    </w:p>
    <w:p w:rsidR="00CE2770" w:rsidRDefault="00CE2770">
      <w:pPr>
        <w:spacing w:line="240" w:lineRule="auto"/>
        <w:rPr>
          <w:rStyle w:val="Nadruk"/>
          <w:i w:val="0"/>
        </w:rPr>
      </w:pPr>
    </w:p>
    <w:p w:rsidR="00CE2770" w:rsidRDefault="00CE2770">
      <w:pPr>
        <w:spacing w:line="240" w:lineRule="auto"/>
        <w:rPr>
          <w:rStyle w:val="Nadruk"/>
          <w:i w:val="0"/>
        </w:rPr>
      </w:pPr>
      <w:r>
        <w:rPr>
          <w:rStyle w:val="Nadruk"/>
          <w:i w:val="0"/>
        </w:rPr>
        <w:br w:type="page"/>
      </w: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F42E68" w:rsidRDefault="00F42E68">
      <w:pPr>
        <w:spacing w:line="240" w:lineRule="auto"/>
        <w:rPr>
          <w:rStyle w:val="Nadruk"/>
          <w:i w:val="0"/>
        </w:rPr>
      </w:pPr>
    </w:p>
    <w:p w:rsidR="00711044" w:rsidRDefault="00711044">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B555CA" w:rsidRDefault="00B555CA" w:rsidP="009C6536">
      <w:pPr>
        <w:spacing w:line="240" w:lineRule="auto"/>
        <w:rPr>
          <w:rStyle w:val="Nadruk"/>
          <w:i w:val="0"/>
        </w:rPr>
      </w:pPr>
    </w:p>
    <w:p w:rsidR="00B555CA" w:rsidRPr="00B457C0" w:rsidRDefault="00B555CA" w:rsidP="009C6536">
      <w:pPr>
        <w:spacing w:line="240" w:lineRule="auto"/>
        <w:rPr>
          <w:iCs/>
        </w:rPr>
      </w:pPr>
    </w:p>
    <w:p w:rsidR="005104EC" w:rsidRDefault="005104EC" w:rsidP="00260190">
      <w:pPr>
        <w:pStyle w:val="Kop2"/>
      </w:pPr>
    </w:p>
    <w:p w:rsidR="00260190" w:rsidRDefault="00260190" w:rsidP="00260190">
      <w:pPr>
        <w:pStyle w:val="Kop2"/>
      </w:pPr>
      <w:r>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9B3" w:rsidRDefault="004749B3">
      <w:r>
        <w:separator/>
      </w:r>
    </w:p>
  </w:endnote>
  <w:endnote w:type="continuationSeparator" w:id="0">
    <w:p w:rsidR="004749B3" w:rsidRDefault="00474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073BFD">
      <w:rPr>
        <w:rStyle w:val="Paginanummer"/>
        <w:noProof/>
      </w:rPr>
      <w:t>21</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Pr="005000B6" w:rsidRDefault="00A13522">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9B3" w:rsidRDefault="004749B3">
      <w:r>
        <w:separator/>
      </w:r>
    </w:p>
  </w:footnote>
  <w:footnote w:type="continuationSeparator" w:id="0">
    <w:p w:rsidR="004749B3" w:rsidRDefault="004749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tabs>
        <w:tab w:val="left" w:pos="1920"/>
      </w:tabs>
    </w:pPr>
    <w:r>
      <w:t>Open universiteitCursustitel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5">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9">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1">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6">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4">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8"/>
  </w:num>
  <w:num w:numId="4">
    <w:abstractNumId w:val="13"/>
  </w:num>
  <w:num w:numId="5">
    <w:abstractNumId w:val="19"/>
  </w:num>
  <w:num w:numId="6">
    <w:abstractNumId w:val="10"/>
  </w:num>
  <w:num w:numId="7">
    <w:abstractNumId w:val="4"/>
  </w:num>
  <w:num w:numId="8">
    <w:abstractNumId w:val="22"/>
  </w:num>
  <w:num w:numId="9">
    <w:abstractNumId w:val="16"/>
  </w:num>
  <w:num w:numId="10">
    <w:abstractNumId w:val="12"/>
  </w:num>
  <w:num w:numId="11">
    <w:abstractNumId w:val="20"/>
  </w:num>
  <w:num w:numId="12">
    <w:abstractNumId w:val="17"/>
  </w:num>
  <w:num w:numId="13">
    <w:abstractNumId w:val="5"/>
  </w:num>
  <w:num w:numId="14">
    <w:abstractNumId w:val="0"/>
  </w:num>
  <w:num w:numId="15">
    <w:abstractNumId w:val="3"/>
  </w:num>
  <w:num w:numId="16">
    <w:abstractNumId w:val="24"/>
  </w:num>
  <w:num w:numId="17">
    <w:abstractNumId w:val="25"/>
  </w:num>
  <w:num w:numId="18">
    <w:abstractNumId w:val="2"/>
  </w:num>
  <w:num w:numId="19">
    <w:abstractNumId w:val="9"/>
  </w:num>
  <w:num w:numId="20">
    <w:abstractNumId w:val="26"/>
  </w:num>
  <w:num w:numId="21">
    <w:abstractNumId w:val="14"/>
  </w:num>
  <w:num w:numId="22">
    <w:abstractNumId w:val="21"/>
  </w:num>
  <w:num w:numId="23">
    <w:abstractNumId w:val="18"/>
  </w:num>
  <w:num w:numId="24">
    <w:abstractNumId w:val="6"/>
  </w:num>
  <w:num w:numId="25">
    <w:abstractNumId w:val="7"/>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27150"/>
    <w:rsid w:val="0003045F"/>
    <w:rsid w:val="00056204"/>
    <w:rsid w:val="00056516"/>
    <w:rsid w:val="00056595"/>
    <w:rsid w:val="00073BFD"/>
    <w:rsid w:val="00086745"/>
    <w:rsid w:val="00086C7C"/>
    <w:rsid w:val="00090014"/>
    <w:rsid w:val="000A0A59"/>
    <w:rsid w:val="000A0B43"/>
    <w:rsid w:val="000A36FD"/>
    <w:rsid w:val="000A4CE9"/>
    <w:rsid w:val="000A57D3"/>
    <w:rsid w:val="000B2C68"/>
    <w:rsid w:val="000C0354"/>
    <w:rsid w:val="000C2873"/>
    <w:rsid w:val="000D35B0"/>
    <w:rsid w:val="000F36FB"/>
    <w:rsid w:val="000F78E0"/>
    <w:rsid w:val="00103FDE"/>
    <w:rsid w:val="00107669"/>
    <w:rsid w:val="001108E8"/>
    <w:rsid w:val="00111A77"/>
    <w:rsid w:val="001146B4"/>
    <w:rsid w:val="001203AA"/>
    <w:rsid w:val="00120EF4"/>
    <w:rsid w:val="00121FA3"/>
    <w:rsid w:val="0012419E"/>
    <w:rsid w:val="0013690D"/>
    <w:rsid w:val="00144DEE"/>
    <w:rsid w:val="00151A64"/>
    <w:rsid w:val="00155C33"/>
    <w:rsid w:val="00174F86"/>
    <w:rsid w:val="00176414"/>
    <w:rsid w:val="00184D3F"/>
    <w:rsid w:val="001960D7"/>
    <w:rsid w:val="0019711F"/>
    <w:rsid w:val="001A23C5"/>
    <w:rsid w:val="001B004C"/>
    <w:rsid w:val="001B41F4"/>
    <w:rsid w:val="001D134F"/>
    <w:rsid w:val="001F2069"/>
    <w:rsid w:val="001F38A3"/>
    <w:rsid w:val="001F7122"/>
    <w:rsid w:val="001F732C"/>
    <w:rsid w:val="00204A57"/>
    <w:rsid w:val="0021191E"/>
    <w:rsid w:val="00215A21"/>
    <w:rsid w:val="0022301C"/>
    <w:rsid w:val="0023194C"/>
    <w:rsid w:val="0024574A"/>
    <w:rsid w:val="00252EFA"/>
    <w:rsid w:val="00260190"/>
    <w:rsid w:val="00266828"/>
    <w:rsid w:val="002679D2"/>
    <w:rsid w:val="0027203C"/>
    <w:rsid w:val="002804C5"/>
    <w:rsid w:val="00290B41"/>
    <w:rsid w:val="002940BE"/>
    <w:rsid w:val="00294C77"/>
    <w:rsid w:val="0029500B"/>
    <w:rsid w:val="00296566"/>
    <w:rsid w:val="002A5D57"/>
    <w:rsid w:val="002B334D"/>
    <w:rsid w:val="002C28D0"/>
    <w:rsid w:val="002C6436"/>
    <w:rsid w:val="002C7DCE"/>
    <w:rsid w:val="002D10EC"/>
    <w:rsid w:val="002E4813"/>
    <w:rsid w:val="002F72EE"/>
    <w:rsid w:val="00304FB8"/>
    <w:rsid w:val="0031239D"/>
    <w:rsid w:val="003171F4"/>
    <w:rsid w:val="00317894"/>
    <w:rsid w:val="00321D9E"/>
    <w:rsid w:val="00327973"/>
    <w:rsid w:val="00346563"/>
    <w:rsid w:val="00354F07"/>
    <w:rsid w:val="00362CE0"/>
    <w:rsid w:val="00362DEF"/>
    <w:rsid w:val="003653B0"/>
    <w:rsid w:val="00370A4C"/>
    <w:rsid w:val="0037218C"/>
    <w:rsid w:val="003743E8"/>
    <w:rsid w:val="003A09B4"/>
    <w:rsid w:val="003B28DD"/>
    <w:rsid w:val="003C5642"/>
    <w:rsid w:val="003D21EA"/>
    <w:rsid w:val="003D3C0A"/>
    <w:rsid w:val="003D634E"/>
    <w:rsid w:val="003E220F"/>
    <w:rsid w:val="003E6EB3"/>
    <w:rsid w:val="0040291D"/>
    <w:rsid w:val="00405308"/>
    <w:rsid w:val="004116F7"/>
    <w:rsid w:val="004249A6"/>
    <w:rsid w:val="004274B2"/>
    <w:rsid w:val="0043021F"/>
    <w:rsid w:val="004317FE"/>
    <w:rsid w:val="0044277C"/>
    <w:rsid w:val="00452695"/>
    <w:rsid w:val="00457046"/>
    <w:rsid w:val="004616E4"/>
    <w:rsid w:val="00471BF1"/>
    <w:rsid w:val="004749B3"/>
    <w:rsid w:val="00490479"/>
    <w:rsid w:val="004A6DC0"/>
    <w:rsid w:val="004C4111"/>
    <w:rsid w:val="004C4883"/>
    <w:rsid w:val="004C48F6"/>
    <w:rsid w:val="004C7AFB"/>
    <w:rsid w:val="004D5A19"/>
    <w:rsid w:val="004F4259"/>
    <w:rsid w:val="005000B6"/>
    <w:rsid w:val="00505253"/>
    <w:rsid w:val="005104EC"/>
    <w:rsid w:val="00516A4E"/>
    <w:rsid w:val="00543C27"/>
    <w:rsid w:val="00545091"/>
    <w:rsid w:val="00553554"/>
    <w:rsid w:val="00553D1F"/>
    <w:rsid w:val="005559A9"/>
    <w:rsid w:val="005645E6"/>
    <w:rsid w:val="00577BF6"/>
    <w:rsid w:val="00595D4D"/>
    <w:rsid w:val="00597E43"/>
    <w:rsid w:val="005A313C"/>
    <w:rsid w:val="005B4DAC"/>
    <w:rsid w:val="005C5498"/>
    <w:rsid w:val="005C7172"/>
    <w:rsid w:val="005D065B"/>
    <w:rsid w:val="005D0A4C"/>
    <w:rsid w:val="005D7976"/>
    <w:rsid w:val="005E04DB"/>
    <w:rsid w:val="005E2D68"/>
    <w:rsid w:val="005E2FF8"/>
    <w:rsid w:val="005F4C79"/>
    <w:rsid w:val="005F6656"/>
    <w:rsid w:val="00602233"/>
    <w:rsid w:val="00605F10"/>
    <w:rsid w:val="00613EA9"/>
    <w:rsid w:val="00622B73"/>
    <w:rsid w:val="00624E6F"/>
    <w:rsid w:val="00635628"/>
    <w:rsid w:val="006379A1"/>
    <w:rsid w:val="00644C9E"/>
    <w:rsid w:val="006479FE"/>
    <w:rsid w:val="00653D4B"/>
    <w:rsid w:val="00665A45"/>
    <w:rsid w:val="00672A13"/>
    <w:rsid w:val="006761CF"/>
    <w:rsid w:val="00677A6D"/>
    <w:rsid w:val="00687CB4"/>
    <w:rsid w:val="00692D3A"/>
    <w:rsid w:val="006935AF"/>
    <w:rsid w:val="00693E43"/>
    <w:rsid w:val="006A2EF6"/>
    <w:rsid w:val="006C46B7"/>
    <w:rsid w:val="006C5B2F"/>
    <w:rsid w:val="006D1721"/>
    <w:rsid w:val="006E26F9"/>
    <w:rsid w:val="006E4E1C"/>
    <w:rsid w:val="006F1398"/>
    <w:rsid w:val="006F56DA"/>
    <w:rsid w:val="0070290F"/>
    <w:rsid w:val="00706631"/>
    <w:rsid w:val="00711044"/>
    <w:rsid w:val="00715BEF"/>
    <w:rsid w:val="007273F4"/>
    <w:rsid w:val="0073160C"/>
    <w:rsid w:val="00735EC9"/>
    <w:rsid w:val="00741C2A"/>
    <w:rsid w:val="00742F99"/>
    <w:rsid w:val="00744ACB"/>
    <w:rsid w:val="007558F6"/>
    <w:rsid w:val="00756811"/>
    <w:rsid w:val="00774F19"/>
    <w:rsid w:val="00785FDF"/>
    <w:rsid w:val="0078704C"/>
    <w:rsid w:val="00792E11"/>
    <w:rsid w:val="00793382"/>
    <w:rsid w:val="007A2902"/>
    <w:rsid w:val="007C1A65"/>
    <w:rsid w:val="007C355D"/>
    <w:rsid w:val="007D2FDF"/>
    <w:rsid w:val="007D542F"/>
    <w:rsid w:val="007D5EB7"/>
    <w:rsid w:val="007E042F"/>
    <w:rsid w:val="007E0533"/>
    <w:rsid w:val="007E3F41"/>
    <w:rsid w:val="007E46C5"/>
    <w:rsid w:val="008000E9"/>
    <w:rsid w:val="0080458B"/>
    <w:rsid w:val="00807406"/>
    <w:rsid w:val="00814F0B"/>
    <w:rsid w:val="00817E4F"/>
    <w:rsid w:val="00820EC5"/>
    <w:rsid w:val="00822E5C"/>
    <w:rsid w:val="0082644E"/>
    <w:rsid w:val="008274FB"/>
    <w:rsid w:val="00830607"/>
    <w:rsid w:val="00832A7A"/>
    <w:rsid w:val="00845414"/>
    <w:rsid w:val="008545EC"/>
    <w:rsid w:val="00855C60"/>
    <w:rsid w:val="008664A4"/>
    <w:rsid w:val="00874F31"/>
    <w:rsid w:val="00882ED9"/>
    <w:rsid w:val="008901D0"/>
    <w:rsid w:val="008924CE"/>
    <w:rsid w:val="00892BDD"/>
    <w:rsid w:val="008A016E"/>
    <w:rsid w:val="008A3A1B"/>
    <w:rsid w:val="008A7AB6"/>
    <w:rsid w:val="008B2718"/>
    <w:rsid w:val="008B7FD2"/>
    <w:rsid w:val="008C13C0"/>
    <w:rsid w:val="008C5911"/>
    <w:rsid w:val="008D0FD0"/>
    <w:rsid w:val="008D1484"/>
    <w:rsid w:val="008D14AE"/>
    <w:rsid w:val="008E57E0"/>
    <w:rsid w:val="008F0139"/>
    <w:rsid w:val="008F6CE7"/>
    <w:rsid w:val="008F7027"/>
    <w:rsid w:val="00912C3A"/>
    <w:rsid w:val="00926D18"/>
    <w:rsid w:val="009334DB"/>
    <w:rsid w:val="00935DE9"/>
    <w:rsid w:val="009610EF"/>
    <w:rsid w:val="00967D94"/>
    <w:rsid w:val="00983C6D"/>
    <w:rsid w:val="00992BA1"/>
    <w:rsid w:val="0099430A"/>
    <w:rsid w:val="00997C82"/>
    <w:rsid w:val="009A4D80"/>
    <w:rsid w:val="009A59C4"/>
    <w:rsid w:val="009C6536"/>
    <w:rsid w:val="009D56CF"/>
    <w:rsid w:val="009E0FEA"/>
    <w:rsid w:val="009E5ECA"/>
    <w:rsid w:val="009E7653"/>
    <w:rsid w:val="009F32B5"/>
    <w:rsid w:val="009F344B"/>
    <w:rsid w:val="00A03CE0"/>
    <w:rsid w:val="00A13522"/>
    <w:rsid w:val="00A13534"/>
    <w:rsid w:val="00A27791"/>
    <w:rsid w:val="00A31466"/>
    <w:rsid w:val="00A31AAF"/>
    <w:rsid w:val="00A347E7"/>
    <w:rsid w:val="00A349F6"/>
    <w:rsid w:val="00A553E7"/>
    <w:rsid w:val="00A55E82"/>
    <w:rsid w:val="00A620E0"/>
    <w:rsid w:val="00A6789A"/>
    <w:rsid w:val="00A73FC9"/>
    <w:rsid w:val="00A7438D"/>
    <w:rsid w:val="00A839AA"/>
    <w:rsid w:val="00A91FF9"/>
    <w:rsid w:val="00A94D36"/>
    <w:rsid w:val="00A97F95"/>
    <w:rsid w:val="00AA3D5E"/>
    <w:rsid w:val="00AA51FA"/>
    <w:rsid w:val="00AC5155"/>
    <w:rsid w:val="00AD0C62"/>
    <w:rsid w:val="00AD32F9"/>
    <w:rsid w:val="00AD4B18"/>
    <w:rsid w:val="00AD6408"/>
    <w:rsid w:val="00AD6841"/>
    <w:rsid w:val="00AE29EC"/>
    <w:rsid w:val="00AF06A0"/>
    <w:rsid w:val="00AF668E"/>
    <w:rsid w:val="00AF69D5"/>
    <w:rsid w:val="00B0064E"/>
    <w:rsid w:val="00B04786"/>
    <w:rsid w:val="00B06FBC"/>
    <w:rsid w:val="00B20C8D"/>
    <w:rsid w:val="00B22C7D"/>
    <w:rsid w:val="00B25741"/>
    <w:rsid w:val="00B31F6C"/>
    <w:rsid w:val="00B42701"/>
    <w:rsid w:val="00B43219"/>
    <w:rsid w:val="00B457C0"/>
    <w:rsid w:val="00B471B6"/>
    <w:rsid w:val="00B53BD7"/>
    <w:rsid w:val="00B54A29"/>
    <w:rsid w:val="00B54B7B"/>
    <w:rsid w:val="00B555CA"/>
    <w:rsid w:val="00B652C8"/>
    <w:rsid w:val="00B75B1A"/>
    <w:rsid w:val="00B86EBF"/>
    <w:rsid w:val="00B940DB"/>
    <w:rsid w:val="00BA4948"/>
    <w:rsid w:val="00BA5FF6"/>
    <w:rsid w:val="00BA7798"/>
    <w:rsid w:val="00BB3B5D"/>
    <w:rsid w:val="00BB46E3"/>
    <w:rsid w:val="00BB77C8"/>
    <w:rsid w:val="00BC11BD"/>
    <w:rsid w:val="00BD0C0A"/>
    <w:rsid w:val="00BD71C9"/>
    <w:rsid w:val="00BE29FA"/>
    <w:rsid w:val="00BF0864"/>
    <w:rsid w:val="00C07F9F"/>
    <w:rsid w:val="00C15ED5"/>
    <w:rsid w:val="00C21A49"/>
    <w:rsid w:val="00C40473"/>
    <w:rsid w:val="00C42527"/>
    <w:rsid w:val="00C42EBB"/>
    <w:rsid w:val="00C6586E"/>
    <w:rsid w:val="00C708EA"/>
    <w:rsid w:val="00C75B5A"/>
    <w:rsid w:val="00C764E4"/>
    <w:rsid w:val="00C77481"/>
    <w:rsid w:val="00C83295"/>
    <w:rsid w:val="00CA7A8F"/>
    <w:rsid w:val="00CC2FEE"/>
    <w:rsid w:val="00CE0725"/>
    <w:rsid w:val="00CE2738"/>
    <w:rsid w:val="00CE2770"/>
    <w:rsid w:val="00CF412D"/>
    <w:rsid w:val="00CF6E9B"/>
    <w:rsid w:val="00D0343B"/>
    <w:rsid w:val="00D05AB2"/>
    <w:rsid w:val="00D176CC"/>
    <w:rsid w:val="00D20D14"/>
    <w:rsid w:val="00D35F60"/>
    <w:rsid w:val="00D409A8"/>
    <w:rsid w:val="00D54D05"/>
    <w:rsid w:val="00D566BC"/>
    <w:rsid w:val="00D6204B"/>
    <w:rsid w:val="00D63F9B"/>
    <w:rsid w:val="00D87CB7"/>
    <w:rsid w:val="00D900F8"/>
    <w:rsid w:val="00DA3570"/>
    <w:rsid w:val="00DB16AA"/>
    <w:rsid w:val="00DB5BB3"/>
    <w:rsid w:val="00DB6B6B"/>
    <w:rsid w:val="00DD1EB5"/>
    <w:rsid w:val="00DE78EE"/>
    <w:rsid w:val="00DF484F"/>
    <w:rsid w:val="00DF4C0E"/>
    <w:rsid w:val="00DF4E52"/>
    <w:rsid w:val="00DF5242"/>
    <w:rsid w:val="00E05D84"/>
    <w:rsid w:val="00E075F0"/>
    <w:rsid w:val="00E153C3"/>
    <w:rsid w:val="00E2572D"/>
    <w:rsid w:val="00E40C3C"/>
    <w:rsid w:val="00E4379E"/>
    <w:rsid w:val="00E439C1"/>
    <w:rsid w:val="00E46E3E"/>
    <w:rsid w:val="00E532DA"/>
    <w:rsid w:val="00E655A0"/>
    <w:rsid w:val="00E74C6C"/>
    <w:rsid w:val="00E977B0"/>
    <w:rsid w:val="00EA009A"/>
    <w:rsid w:val="00EA06D7"/>
    <w:rsid w:val="00EB1EE3"/>
    <w:rsid w:val="00EB242F"/>
    <w:rsid w:val="00EB2509"/>
    <w:rsid w:val="00EB5BF8"/>
    <w:rsid w:val="00EC211A"/>
    <w:rsid w:val="00ED15D0"/>
    <w:rsid w:val="00ED693C"/>
    <w:rsid w:val="00EE488C"/>
    <w:rsid w:val="00EF3F4D"/>
    <w:rsid w:val="00EF410D"/>
    <w:rsid w:val="00EF4DF5"/>
    <w:rsid w:val="00EF7A97"/>
    <w:rsid w:val="00F128A9"/>
    <w:rsid w:val="00F177ED"/>
    <w:rsid w:val="00F3404D"/>
    <w:rsid w:val="00F37C50"/>
    <w:rsid w:val="00F42E68"/>
    <w:rsid w:val="00F45F60"/>
    <w:rsid w:val="00F47EC9"/>
    <w:rsid w:val="00F62318"/>
    <w:rsid w:val="00F67259"/>
    <w:rsid w:val="00F720CA"/>
    <w:rsid w:val="00F84CE2"/>
    <w:rsid w:val="00FB160C"/>
    <w:rsid w:val="00FB63AF"/>
    <w:rsid w:val="00FC6FD1"/>
    <w:rsid w:val="00FC7EB9"/>
    <w:rsid w:val="00FD3709"/>
    <w:rsid w:val="00FE212F"/>
    <w:rsid w:val="00F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image" Target="media/image9.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8598-8DE5-4C54-B447-91116DCC3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25</Pages>
  <Words>3862</Words>
  <Characters>21245</Characters>
  <Application>Microsoft Office Word</Application>
  <DocSecurity>0</DocSecurity>
  <Lines>177</Lines>
  <Paragraphs>50</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25057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318</cp:revision>
  <cp:lastPrinted>2002-10-30T12:42:00Z</cp:lastPrinted>
  <dcterms:created xsi:type="dcterms:W3CDTF">2014-05-15T13:29:00Z</dcterms:created>
  <dcterms:modified xsi:type="dcterms:W3CDTF">2017-11-17T20:30:00Z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