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BE2886" w:rsidRDefault="00BE2886">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A13522" w:rsidRDefault="00A13522"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A13522" w:rsidRDefault="00A13522"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4274B2" w:rsidP="0082644E">
      <w:pPr>
        <w:spacing w:line="240" w:lineRule="auto"/>
        <w:sectPr w:rsidR="004274B2" w:rsidSect="00B20C8D">
          <w:type w:val="continuous"/>
          <w:pgSz w:w="11906" w:h="16838" w:code="9"/>
          <w:pgMar w:top="1440" w:right="1077" w:bottom="1440" w:left="3515" w:header="720" w:footer="720" w:gutter="0"/>
          <w:cols w:space="720"/>
          <w:docGrid w:linePitch="272"/>
        </w:sectPr>
      </w:pPr>
    </w:p>
    <w:p w:rsidR="0082644E" w:rsidRDefault="00300E5C" w:rsidP="0082644E">
      <w:pPr>
        <w:spacing w:line="240" w:lineRule="auto"/>
        <w:jc w:val="center"/>
      </w:pPr>
      <w:r>
        <w:rPr>
          <w:noProof/>
          <w:lang w:val="nl-NL"/>
        </w:rPr>
        <w:lastRenderedPageBreak/>
        <w:drawing>
          <wp:inline distT="0" distB="0" distL="0" distR="0">
            <wp:extent cx="6188710" cy="8150984"/>
            <wp:effectExtent l="0" t="0" r="254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8150984"/>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516A4E">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1B004C" w:rsidRDefault="001B004C" w:rsidP="00A13522">
            <w:pPr>
              <w:rPr>
                <w:i/>
              </w:rPr>
            </w:pPr>
          </w:p>
          <w:p w:rsidR="003D78D5" w:rsidRDefault="003D78D5" w:rsidP="00A13522">
            <w:pPr>
              <w:rPr>
                <w:i/>
              </w:rPr>
            </w:pPr>
          </w:p>
          <w:p w:rsidR="00855C60" w:rsidRDefault="00855C60" w:rsidP="00A13522">
            <w:pPr>
              <w:rPr>
                <w:i/>
              </w:rPr>
            </w:pPr>
            <w:r>
              <w:rPr>
                <w:i/>
              </w:rPr>
              <w:lastRenderedPageBreak/>
              <w:t>Bridge Pattern</w:t>
            </w: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Default="00BA4948" w:rsidP="00A13522">
            <w:pPr>
              <w:rPr>
                <w:i/>
              </w:rPr>
            </w:pPr>
          </w:p>
          <w:p w:rsidR="00BA4948" w:rsidRPr="00A553E7" w:rsidRDefault="00BA4948" w:rsidP="00A13522">
            <w:pPr>
              <w:rPr>
                <w:i/>
              </w:rPr>
            </w:pPr>
            <w:r>
              <w:rPr>
                <w:i/>
              </w:rPr>
              <w:t>Observer Pattern</w:t>
            </w: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CompositeSlideShowComponent,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p>
          <w:p w:rsidR="006C46B7" w:rsidRDefault="006C46B7" w:rsidP="00A55E82"/>
          <w:p w:rsidR="006C46B7" w:rsidRDefault="006C46B7" w:rsidP="00A55E82">
            <w:r>
              <w:t xml:space="preserve">Actions are implemented through the </w:t>
            </w:r>
            <w:r w:rsidRPr="00CF6E9B">
              <w:rPr>
                <w:b/>
              </w:rPr>
              <w:t>Command Pattern</w:t>
            </w:r>
            <w:r>
              <w:t xml:space="preserve">. The Action as modeled in the above domain </w:t>
            </w:r>
            <w:r w:rsidR="000B2C68">
              <w:t>model</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smaller fine-grained steps into a more integral part. These Actions can be assigned to ActionDecoratedItems during the loading of the Slideshow. When the user clicks for example on a TextItem which is wrapped in an ActionDecoratedItem, the available actions are executed in a sequential manner.</w:t>
            </w:r>
          </w:p>
          <w:p w:rsidR="00B471B6" w:rsidRDefault="00B471B6"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1B004C" w:rsidRDefault="001B004C" w:rsidP="00A55E82"/>
          <w:p w:rsidR="003D78D5" w:rsidRDefault="003D78D5" w:rsidP="00516A4E"/>
          <w:p w:rsidR="00A55E82" w:rsidRPr="00A553E7" w:rsidRDefault="00855C60" w:rsidP="00516A4E">
            <w:r>
              <w:lastRenderedPageBreak/>
              <w:t xml:space="preserve">Then… the DrawingDriver. </w:t>
            </w:r>
            <w:r w:rsidR="001B004C">
              <w:t>T</w:t>
            </w:r>
            <w:r>
              <w: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w:t>
            </w:r>
            <w:r w:rsidR="001B004C">
              <w:t>e</w:t>
            </w:r>
            <w:r>
              <w:t>Items and implementations of DrawingDrivers are loosely decoupled and can vary accordingly.</w:t>
            </w:r>
            <w:r w:rsidR="00BA4948">
              <w:t xml:space="preserve"> Why this pattern is used, and not the Observer Pattern is explained in TODO …</w:t>
            </w:r>
            <w:r w:rsidR="006761CF" w:rsidRPr="00516A4E">
              <w:rPr>
                <w:i/>
                <w:u w:val="single"/>
              </w:rPr>
              <w:t>It is strongly recommended</w:t>
            </w:r>
            <w:r w:rsidR="00516A4E">
              <w:t xml:space="preserve"> </w:t>
            </w:r>
            <w:r w:rsidR="006761CF">
              <w:t>to first read this section, as this is the most interesting part regarding the decisions taken in the design.</w:t>
            </w:r>
          </w:p>
        </w:tc>
      </w:tr>
    </w:tbl>
    <w:p w:rsidR="00EB242F" w:rsidRDefault="00EB242F">
      <w:pPr>
        <w:spacing w:line="240" w:lineRule="auto"/>
      </w:pPr>
    </w:p>
    <w:p w:rsidR="004274B2" w:rsidRDefault="004274B2">
      <w:pPr>
        <w:spacing w:line="240" w:lineRule="auto"/>
        <w:sectPr w:rsidR="004274B2" w:rsidSect="00EB242F">
          <w:type w:val="continuous"/>
          <w:pgSz w:w="11906" w:h="16838" w:code="9"/>
          <w:pgMar w:top="1440" w:right="1077" w:bottom="1440" w:left="1418" w:header="720" w:footer="720" w:gutter="0"/>
          <w:cols w:space="720"/>
          <w:docGrid w:linePitch="272"/>
        </w:sectPr>
      </w:pPr>
    </w:p>
    <w:p w:rsidR="004274B2" w:rsidRDefault="004274B2">
      <w:pPr>
        <w:spacing w:line="240" w:lineRule="auto"/>
      </w:pPr>
    </w:p>
    <w:p w:rsidR="004274B2" w:rsidRDefault="004274B2">
      <w:pPr>
        <w:spacing w:line="240" w:lineRule="auto"/>
      </w:pPr>
    </w:p>
    <w:p w:rsidR="004274B2" w:rsidRDefault="004274B2">
      <w:pPr>
        <w:spacing w:line="240" w:lineRule="auto"/>
      </w:pPr>
    </w:p>
    <w:p w:rsidR="004274B2" w:rsidRDefault="004274B2">
      <w:pPr>
        <w:spacing w:line="240" w:lineRule="auto"/>
      </w:pPr>
    </w:p>
    <w:p w:rsidR="00A55E82" w:rsidRDefault="00A55E82">
      <w:pPr>
        <w:spacing w:line="240" w:lineRule="auto"/>
      </w:pPr>
    </w:p>
    <w:p w:rsidR="00EB242F" w:rsidRDefault="00EB242F">
      <w:pPr>
        <w:spacing w:line="240" w:lineRule="auto"/>
      </w:pPr>
    </w:p>
    <w:p w:rsidR="00B940DB" w:rsidRDefault="00B940DB">
      <w:pPr>
        <w:spacing w:line="240" w:lineRule="auto"/>
      </w:pPr>
      <w:r>
        <w:br w:type="page"/>
      </w:r>
    </w:p>
    <w:p w:rsidR="00CA7A8F" w:rsidRDefault="00CA7A8F" w:rsidP="002F72EE">
      <w:r>
        <w:lastRenderedPageBreak/>
        <w:t xml:space="preserve">The MVC Pattern will be used to separate </w:t>
      </w:r>
      <w:r w:rsidR="009E7653">
        <w:t>entities</w:t>
      </w:r>
      <w:r>
        <w:t xml:space="preserve"> in</w:t>
      </w:r>
      <w:r w:rsidR="009E7653">
        <w:t>to</w:t>
      </w:r>
      <w:r>
        <w:t xml:space="preserve"> Model, Viewer and Controller entities:</w:t>
      </w:r>
    </w:p>
    <w:p w:rsidR="00CA7A8F" w:rsidRDefault="00CA7A8F">
      <w:pPr>
        <w:spacing w:line="240" w:lineRule="auto"/>
      </w:pPr>
    </w:p>
    <w:p w:rsidR="00CA7A8F" w:rsidRDefault="00CA7A8F">
      <w:pPr>
        <w:spacing w:line="240" w:lineRule="auto"/>
        <w:sectPr w:rsidR="00CA7A8F" w:rsidSect="00EB242F">
          <w:type w:val="continuous"/>
          <w:pgSz w:w="11906" w:h="16838" w:code="9"/>
          <w:pgMar w:top="1440" w:right="1077" w:bottom="1440" w:left="1418"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SwingDrawingDriver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The following figure shows how slide items and slides in the domain model are separated from the drawing implementations. The idea is that in the future perhaps other implementations are introduced, like JavaFx, In that case, only an extra JavaFXDrawingDriver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r>
        <w:t>Bridge Pattern vs. Observer Pattern regarding View/Model decoupling</w:t>
      </w:r>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w:t>
      </w:r>
      <w:bookmarkStart w:id="0" w:name="_GoBack"/>
      <w:bookmarkEnd w:id="0"/>
      <w:r w:rsidR="00820EC5">
        <w:t xml:space="preserve">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164806DC" wp14:editId="643BF2DF">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lastRenderedPageBreak/>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CD385C" w:rsidP="00CD385C">
      <w:pPr>
        <w:spacing w:line="240" w:lineRule="auto"/>
        <w:jc w:val="center"/>
        <w:rPr>
          <w:rStyle w:val="Nadruk"/>
          <w:i w:val="0"/>
        </w:rPr>
      </w:pPr>
      <w:r>
        <w:rPr>
          <w:iCs/>
          <w:noProof/>
          <w:lang w:val="nl-NL"/>
        </w:rPr>
        <w:lastRenderedPageBreak/>
        <w:drawing>
          <wp:inline distT="0" distB="0" distL="0" distR="0">
            <wp:extent cx="5728335" cy="5005841"/>
            <wp:effectExtent l="0" t="0" r="5715" b="444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994" cy="5006417"/>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that depicts the Bridge Pattern</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lastRenderedPageBreak/>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the GRASP-guideline (</w:t>
      </w:r>
      <w:r w:rsidR="008274FB">
        <w:rPr>
          <w:rStyle w:val="Nadruk"/>
          <w:i w:val="0"/>
        </w:rPr>
        <w:t xml:space="preserve">TODO </w:t>
      </w:r>
      <w:r>
        <w:rPr>
          <w:rStyle w:val="Nadruk"/>
          <w:i w:val="0"/>
        </w:rPr>
        <w:t xml:space="preserve">Larman, 2005, pg. 283).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maestro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1-0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lastRenderedPageBreak/>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A91FF9"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There is a clear </w:t>
      </w:r>
      <w:r w:rsidRPr="00922545">
        <w:rPr>
          <w:rStyle w:val="Nadruk"/>
        </w:rPr>
        <w:t>orchestrational responsibility of the Composition Pattern</w:t>
      </w:r>
      <w:r>
        <w:rPr>
          <w:rStyle w:val="Nadruk"/>
          <w:i w:val="0"/>
        </w:rPr>
        <w:t xml:space="preserve"> that the Slideshow takes. </w:t>
      </w:r>
      <w:r w:rsidR="00922545">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w:t>
      </w:r>
      <w:proofErr w:type="gramStart"/>
      <w:r>
        <w:rPr>
          <w:rStyle w:val="Nadruk"/>
          <w:i w:val="0"/>
        </w:rPr>
        <w:t>play</w:t>
      </w:r>
      <w:proofErr w:type="gramEnd"/>
      <w:r>
        <w:rPr>
          <w:rStyle w:val="Nadruk"/>
          <w:i w:val="0"/>
        </w:rPr>
        <w:t xml:space="preserve"> </w:t>
      </w:r>
      <w:r w:rsidR="00682511">
        <w:rPr>
          <w:rStyle w:val="Nadruk"/>
          <w:i w:val="0"/>
        </w:rPr>
        <w:t>Beethoven’s Symphony no. 5</w:t>
      </w:r>
      <w:r w:rsidR="001E51DE">
        <w:rPr>
          <w:rStyle w:val="Nadruk"/>
          <w:i w:val="0"/>
        </w:rPr>
        <w:t>”</w:t>
      </w:r>
      <w:r w:rsidR="00682511">
        <w:rPr>
          <w:rStyle w:val="Nadruk"/>
          <w:i w:val="0"/>
        </w:rPr>
        <w:t>.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Apart from that, as all the section need a copy of the sheet music, it’s an example of redundancy.</w:t>
      </w:r>
    </w:p>
    <w:p w:rsidR="00E42869" w:rsidRDefault="00E42869">
      <w:pPr>
        <w:spacing w:line="240" w:lineRule="auto"/>
        <w:rPr>
          <w:rStyle w:val="Nadruk"/>
          <w:i w:val="0"/>
        </w:rPr>
      </w:pPr>
    </w:p>
    <w:p w:rsidR="00E42869" w:rsidRDefault="00E42869">
      <w:pPr>
        <w:spacing w:line="240" w:lineRule="auto"/>
        <w:rPr>
          <w:rStyle w:val="Nadruk"/>
          <w:i w:val="0"/>
        </w:rPr>
      </w:pPr>
    </w:p>
    <w:p w:rsidR="008029A2" w:rsidRDefault="008029A2">
      <w:pPr>
        <w:spacing w:line="240" w:lineRule="auto"/>
        <w:rPr>
          <w:rStyle w:val="Nadruk"/>
          <w:i w:val="0"/>
        </w:rPr>
      </w:pPr>
    </w:p>
    <w:p w:rsidR="00A13522" w:rsidRDefault="00296566">
      <w:pPr>
        <w:spacing w:line="240" w:lineRule="auto"/>
        <w:rPr>
          <w:rStyle w:val="Nadruk"/>
          <w:i w:val="0"/>
        </w:rPr>
      </w:pPr>
      <w:r>
        <w:rPr>
          <w:rStyle w:val="Nadruk"/>
          <w:i w:val="0"/>
        </w:rPr>
        <w:t>Would be good if there is a text box that needs to be filled and depending on the text a certain other textbox must be filled or a calculation must be redone.</w:t>
      </w:r>
    </w:p>
    <w:p w:rsidR="00296566" w:rsidRDefault="00296566">
      <w:pPr>
        <w:spacing w:line="240" w:lineRule="auto"/>
        <w:rPr>
          <w:rStyle w:val="Nadruk"/>
          <w:i w:val="0"/>
        </w:rPr>
      </w:pPr>
    </w:p>
    <w:p w:rsidR="0021191E" w:rsidRDefault="0021191E">
      <w:pPr>
        <w:spacing w:line="240" w:lineRule="auto"/>
        <w:rPr>
          <w:rStyle w:val="Nadruk"/>
          <w:i w:val="0"/>
        </w:rPr>
      </w:pPr>
    </w:p>
    <w:p w:rsidR="00516A4E" w:rsidRDefault="00516A4E">
      <w:pPr>
        <w:spacing w:line="240" w:lineRule="auto"/>
        <w:rPr>
          <w:rStyle w:val="Nadruk"/>
          <w:i w:val="0"/>
        </w:rPr>
      </w:pPr>
    </w:p>
    <w:p w:rsidR="00516A4E" w:rsidRPr="00516A4E" w:rsidRDefault="00516A4E">
      <w:pPr>
        <w:spacing w:line="240" w:lineRule="auto"/>
        <w:rPr>
          <w:rStyle w:val="Nadruk"/>
          <w:i w:val="0"/>
        </w:rPr>
      </w:pPr>
      <w:r>
        <w:rPr>
          <w:rStyle w:val="Nadruk"/>
          <w:i w:val="0"/>
        </w:rPr>
        <w:t>The model is loosely coupled with the View. No direct calling. Down the drain 1-1</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In our use-case,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We see a pattern slide</w:t>
      </w:r>
      <w:proofErr w:type="gramStart"/>
      <w:r>
        <w:rPr>
          <w:rStyle w:val="Nadruk"/>
          <w:i w:val="0"/>
        </w:rPr>
        <w:t>..</w:t>
      </w:r>
      <w:proofErr w:type="gramEnd"/>
      <w:r>
        <w:rPr>
          <w:rStyle w:val="Nadruk"/>
          <w:i w:val="0"/>
        </w:rPr>
        <w:t xml:space="preserve"> </w:t>
      </w:r>
      <w:proofErr w:type="spellStart"/>
      <w:proofErr w:type="gramStart"/>
      <w:r>
        <w:rPr>
          <w:rStyle w:val="Nadruk"/>
          <w:i w:val="0"/>
        </w:rPr>
        <w:t>sliditems</w:t>
      </w:r>
      <w:proofErr w:type="spellEnd"/>
      <w:proofErr w:type="gramEnd"/>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8274FB" w:rsidRDefault="008274FB">
      <w:pPr>
        <w:spacing w:line="240" w:lineRule="auto"/>
        <w:rPr>
          <w:rStyle w:val="Nadruk"/>
          <w:i w:val="0"/>
        </w:rPr>
      </w:pPr>
    </w:p>
    <w:p w:rsidR="00F42E68" w:rsidRDefault="00F42E68">
      <w:pPr>
        <w:spacing w:line="240" w:lineRule="auto"/>
        <w:rPr>
          <w:rStyle w:val="Nadruk"/>
          <w:i w:val="0"/>
        </w:rPr>
      </w:pPr>
    </w:p>
    <w:p w:rsidR="00711044" w:rsidRDefault="00711044">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711044" w:rsidRDefault="00711044" w:rsidP="009C6536">
      <w:pPr>
        <w:spacing w:line="240" w:lineRule="auto"/>
        <w:rPr>
          <w:rStyle w:val="Nadruk"/>
          <w:i w:val="0"/>
        </w:rPr>
      </w:pPr>
    </w:p>
    <w:p w:rsidR="00B555CA" w:rsidRDefault="00B555CA" w:rsidP="009C6536">
      <w:pPr>
        <w:spacing w:line="240" w:lineRule="auto"/>
        <w:rPr>
          <w:rStyle w:val="Nadruk"/>
          <w:i w:val="0"/>
        </w:rPr>
      </w:pPr>
    </w:p>
    <w:p w:rsidR="00B555CA" w:rsidRPr="00B457C0" w:rsidRDefault="00B555CA" w:rsidP="009C6536">
      <w:pPr>
        <w:spacing w:line="240" w:lineRule="auto"/>
        <w:rPr>
          <w:iCs/>
        </w:rPr>
      </w:pPr>
    </w:p>
    <w:p w:rsidR="005104EC" w:rsidRDefault="005104EC" w:rsidP="00260190">
      <w:pPr>
        <w:pStyle w:val="Kop2"/>
      </w:pPr>
    </w:p>
    <w:p w:rsidR="00260190" w:rsidRDefault="00260190" w:rsidP="00260190">
      <w:pPr>
        <w:pStyle w:val="Kop2"/>
      </w:pPr>
      <w:r>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720" w:rsidRDefault="00DE7720">
      <w:r>
        <w:separator/>
      </w:r>
    </w:p>
  </w:endnote>
  <w:endnote w:type="continuationSeparator" w:id="0">
    <w:p w:rsidR="00DE7720" w:rsidRDefault="00DE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3D78D5">
      <w:rPr>
        <w:rStyle w:val="Paginanummer"/>
        <w:noProof/>
      </w:rPr>
      <w:t>20</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Pr="005000B6" w:rsidRDefault="00A13522">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720" w:rsidRDefault="00DE7720">
      <w:r>
        <w:separator/>
      </w:r>
    </w:p>
  </w:footnote>
  <w:footnote w:type="continuationSeparator" w:id="0">
    <w:p w:rsidR="00DE7720" w:rsidRDefault="00DE77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22" w:rsidRDefault="00A13522">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6">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4">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8"/>
  </w:num>
  <w:num w:numId="4">
    <w:abstractNumId w:val="13"/>
  </w:num>
  <w:num w:numId="5">
    <w:abstractNumId w:val="19"/>
  </w:num>
  <w:num w:numId="6">
    <w:abstractNumId w:val="10"/>
  </w:num>
  <w:num w:numId="7">
    <w:abstractNumId w:val="4"/>
  </w:num>
  <w:num w:numId="8">
    <w:abstractNumId w:val="22"/>
  </w:num>
  <w:num w:numId="9">
    <w:abstractNumId w:val="16"/>
  </w:num>
  <w:num w:numId="10">
    <w:abstractNumId w:val="12"/>
  </w:num>
  <w:num w:numId="11">
    <w:abstractNumId w:val="20"/>
  </w:num>
  <w:num w:numId="12">
    <w:abstractNumId w:val="17"/>
  </w:num>
  <w:num w:numId="13">
    <w:abstractNumId w:val="5"/>
  </w:num>
  <w:num w:numId="14">
    <w:abstractNumId w:val="0"/>
  </w:num>
  <w:num w:numId="15">
    <w:abstractNumId w:val="3"/>
  </w:num>
  <w:num w:numId="16">
    <w:abstractNumId w:val="24"/>
  </w:num>
  <w:num w:numId="17">
    <w:abstractNumId w:val="25"/>
  </w:num>
  <w:num w:numId="18">
    <w:abstractNumId w:val="2"/>
  </w:num>
  <w:num w:numId="19">
    <w:abstractNumId w:val="9"/>
  </w:num>
  <w:num w:numId="20">
    <w:abstractNumId w:val="26"/>
  </w:num>
  <w:num w:numId="21">
    <w:abstractNumId w:val="14"/>
  </w:num>
  <w:num w:numId="22">
    <w:abstractNumId w:val="21"/>
  </w:num>
  <w:num w:numId="23">
    <w:abstractNumId w:val="18"/>
  </w:num>
  <w:num w:numId="24">
    <w:abstractNumId w:val="6"/>
  </w:num>
  <w:num w:numId="25">
    <w:abstractNumId w:val="7"/>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56204"/>
    <w:rsid w:val="00056516"/>
    <w:rsid w:val="00056595"/>
    <w:rsid w:val="00073BFD"/>
    <w:rsid w:val="00086745"/>
    <w:rsid w:val="00086C7C"/>
    <w:rsid w:val="00090014"/>
    <w:rsid w:val="000A0A59"/>
    <w:rsid w:val="000A0B43"/>
    <w:rsid w:val="000A36FD"/>
    <w:rsid w:val="000A4A18"/>
    <w:rsid w:val="000A4CE9"/>
    <w:rsid w:val="000A57D3"/>
    <w:rsid w:val="000B2C68"/>
    <w:rsid w:val="000C0354"/>
    <w:rsid w:val="000C2873"/>
    <w:rsid w:val="000D35B0"/>
    <w:rsid w:val="000F36FB"/>
    <w:rsid w:val="000F78E0"/>
    <w:rsid w:val="00103FDE"/>
    <w:rsid w:val="00107669"/>
    <w:rsid w:val="001108E8"/>
    <w:rsid w:val="00111A77"/>
    <w:rsid w:val="001146B4"/>
    <w:rsid w:val="001203AA"/>
    <w:rsid w:val="00120EF4"/>
    <w:rsid w:val="00121FA3"/>
    <w:rsid w:val="0012419E"/>
    <w:rsid w:val="0013690D"/>
    <w:rsid w:val="00144DEE"/>
    <w:rsid w:val="00151A64"/>
    <w:rsid w:val="00155C33"/>
    <w:rsid w:val="00174F86"/>
    <w:rsid w:val="00176414"/>
    <w:rsid w:val="00184D3F"/>
    <w:rsid w:val="001960D7"/>
    <w:rsid w:val="0019711F"/>
    <w:rsid w:val="001A23C5"/>
    <w:rsid w:val="001B004C"/>
    <w:rsid w:val="001B41F4"/>
    <w:rsid w:val="001D134F"/>
    <w:rsid w:val="001E51DE"/>
    <w:rsid w:val="001F2069"/>
    <w:rsid w:val="001F38A3"/>
    <w:rsid w:val="001F7122"/>
    <w:rsid w:val="001F732C"/>
    <w:rsid w:val="00204A57"/>
    <w:rsid w:val="0021191E"/>
    <w:rsid w:val="00215A21"/>
    <w:rsid w:val="0022301C"/>
    <w:rsid w:val="0023194C"/>
    <w:rsid w:val="0024574A"/>
    <w:rsid w:val="00252EFA"/>
    <w:rsid w:val="00260190"/>
    <w:rsid w:val="00262D53"/>
    <w:rsid w:val="00266828"/>
    <w:rsid w:val="002679D2"/>
    <w:rsid w:val="0027203C"/>
    <w:rsid w:val="002804C5"/>
    <w:rsid w:val="00290B41"/>
    <w:rsid w:val="002940BE"/>
    <w:rsid w:val="00294C77"/>
    <w:rsid w:val="0029500B"/>
    <w:rsid w:val="00296566"/>
    <w:rsid w:val="002A5D57"/>
    <w:rsid w:val="002B334D"/>
    <w:rsid w:val="002C28D0"/>
    <w:rsid w:val="002C6436"/>
    <w:rsid w:val="002C7DCE"/>
    <w:rsid w:val="002D10EC"/>
    <w:rsid w:val="002E4813"/>
    <w:rsid w:val="002F72EE"/>
    <w:rsid w:val="00300E5C"/>
    <w:rsid w:val="00304FB8"/>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D634E"/>
    <w:rsid w:val="003D78D5"/>
    <w:rsid w:val="003E220F"/>
    <w:rsid w:val="003E6EB3"/>
    <w:rsid w:val="0040291D"/>
    <w:rsid w:val="00405308"/>
    <w:rsid w:val="004116F7"/>
    <w:rsid w:val="004249A6"/>
    <w:rsid w:val="004274B2"/>
    <w:rsid w:val="0043021F"/>
    <w:rsid w:val="004317FE"/>
    <w:rsid w:val="0044277C"/>
    <w:rsid w:val="00452695"/>
    <w:rsid w:val="00457046"/>
    <w:rsid w:val="004616E4"/>
    <w:rsid w:val="00471BF1"/>
    <w:rsid w:val="004749B3"/>
    <w:rsid w:val="00490479"/>
    <w:rsid w:val="004909C8"/>
    <w:rsid w:val="004A6DC0"/>
    <w:rsid w:val="004C4111"/>
    <w:rsid w:val="004C4883"/>
    <w:rsid w:val="004C48F6"/>
    <w:rsid w:val="004C7AFB"/>
    <w:rsid w:val="004D5A19"/>
    <w:rsid w:val="004F4259"/>
    <w:rsid w:val="005000B6"/>
    <w:rsid w:val="00505253"/>
    <w:rsid w:val="005104EC"/>
    <w:rsid w:val="00516A4E"/>
    <w:rsid w:val="00543C27"/>
    <w:rsid w:val="00545091"/>
    <w:rsid w:val="00553554"/>
    <w:rsid w:val="00553D1F"/>
    <w:rsid w:val="005559A9"/>
    <w:rsid w:val="005645E6"/>
    <w:rsid w:val="00577BF6"/>
    <w:rsid w:val="00595D4D"/>
    <w:rsid w:val="00597E43"/>
    <w:rsid w:val="005A313C"/>
    <w:rsid w:val="005A3983"/>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65A45"/>
    <w:rsid w:val="00672A13"/>
    <w:rsid w:val="006761CF"/>
    <w:rsid w:val="00677A6D"/>
    <w:rsid w:val="00682511"/>
    <w:rsid w:val="00687CB4"/>
    <w:rsid w:val="00692D3A"/>
    <w:rsid w:val="006935AF"/>
    <w:rsid w:val="00693E43"/>
    <w:rsid w:val="006A2EF6"/>
    <w:rsid w:val="006C46B7"/>
    <w:rsid w:val="006C5B2F"/>
    <w:rsid w:val="006D1721"/>
    <w:rsid w:val="006E26F9"/>
    <w:rsid w:val="006E4E1C"/>
    <w:rsid w:val="006F1398"/>
    <w:rsid w:val="006F56DA"/>
    <w:rsid w:val="0070290F"/>
    <w:rsid w:val="00706631"/>
    <w:rsid w:val="00711044"/>
    <w:rsid w:val="00715BEF"/>
    <w:rsid w:val="007273F4"/>
    <w:rsid w:val="0073160C"/>
    <w:rsid w:val="00735EC9"/>
    <w:rsid w:val="00741C2A"/>
    <w:rsid w:val="00742F99"/>
    <w:rsid w:val="00744ACB"/>
    <w:rsid w:val="007558F6"/>
    <w:rsid w:val="00756811"/>
    <w:rsid w:val="00774F19"/>
    <w:rsid w:val="00785FDF"/>
    <w:rsid w:val="0078704C"/>
    <w:rsid w:val="00792E11"/>
    <w:rsid w:val="00793382"/>
    <w:rsid w:val="007A2902"/>
    <w:rsid w:val="007C1A65"/>
    <w:rsid w:val="007C355D"/>
    <w:rsid w:val="007D2FDF"/>
    <w:rsid w:val="007D542F"/>
    <w:rsid w:val="007D5EB7"/>
    <w:rsid w:val="007E042F"/>
    <w:rsid w:val="007E0533"/>
    <w:rsid w:val="007E3F41"/>
    <w:rsid w:val="007E46C5"/>
    <w:rsid w:val="008000E9"/>
    <w:rsid w:val="008029A2"/>
    <w:rsid w:val="0080458B"/>
    <w:rsid w:val="00807406"/>
    <w:rsid w:val="00814F0B"/>
    <w:rsid w:val="00817E4F"/>
    <w:rsid w:val="00820EC5"/>
    <w:rsid w:val="00822E5C"/>
    <w:rsid w:val="0082644E"/>
    <w:rsid w:val="008274FB"/>
    <w:rsid w:val="00830607"/>
    <w:rsid w:val="00832A7A"/>
    <w:rsid w:val="00845414"/>
    <w:rsid w:val="008545EC"/>
    <w:rsid w:val="00855C60"/>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2545"/>
    <w:rsid w:val="00926D18"/>
    <w:rsid w:val="009334DB"/>
    <w:rsid w:val="00935DE9"/>
    <w:rsid w:val="009610EF"/>
    <w:rsid w:val="00967D94"/>
    <w:rsid w:val="00983C6D"/>
    <w:rsid w:val="00992BA1"/>
    <w:rsid w:val="0099430A"/>
    <w:rsid w:val="00997C82"/>
    <w:rsid w:val="009A4D80"/>
    <w:rsid w:val="009A59C4"/>
    <w:rsid w:val="009C6536"/>
    <w:rsid w:val="009D56CF"/>
    <w:rsid w:val="009E0FEA"/>
    <w:rsid w:val="009E5ECA"/>
    <w:rsid w:val="009E7653"/>
    <w:rsid w:val="009F32B5"/>
    <w:rsid w:val="009F344B"/>
    <w:rsid w:val="00A03CE0"/>
    <w:rsid w:val="00A13522"/>
    <w:rsid w:val="00A13534"/>
    <w:rsid w:val="00A27791"/>
    <w:rsid w:val="00A31466"/>
    <w:rsid w:val="00A31AAF"/>
    <w:rsid w:val="00A347E7"/>
    <w:rsid w:val="00A349F6"/>
    <w:rsid w:val="00A553E7"/>
    <w:rsid w:val="00A55E82"/>
    <w:rsid w:val="00A620E0"/>
    <w:rsid w:val="00A6789A"/>
    <w:rsid w:val="00A73FC9"/>
    <w:rsid w:val="00A7438D"/>
    <w:rsid w:val="00A81159"/>
    <w:rsid w:val="00A839AA"/>
    <w:rsid w:val="00A91FF9"/>
    <w:rsid w:val="00A94D36"/>
    <w:rsid w:val="00A97F95"/>
    <w:rsid w:val="00AA3D5E"/>
    <w:rsid w:val="00AA51FA"/>
    <w:rsid w:val="00AC5155"/>
    <w:rsid w:val="00AD0C62"/>
    <w:rsid w:val="00AD32F9"/>
    <w:rsid w:val="00AD4B18"/>
    <w:rsid w:val="00AD6408"/>
    <w:rsid w:val="00AD6841"/>
    <w:rsid w:val="00AE29EC"/>
    <w:rsid w:val="00AF06A0"/>
    <w:rsid w:val="00AF668E"/>
    <w:rsid w:val="00AF69D5"/>
    <w:rsid w:val="00B0064E"/>
    <w:rsid w:val="00B04786"/>
    <w:rsid w:val="00B06FBC"/>
    <w:rsid w:val="00B20C8D"/>
    <w:rsid w:val="00B22C7D"/>
    <w:rsid w:val="00B25741"/>
    <w:rsid w:val="00B31F6C"/>
    <w:rsid w:val="00B42701"/>
    <w:rsid w:val="00B43219"/>
    <w:rsid w:val="00B457C0"/>
    <w:rsid w:val="00B471B6"/>
    <w:rsid w:val="00B53BD7"/>
    <w:rsid w:val="00B54A29"/>
    <w:rsid w:val="00B54B7B"/>
    <w:rsid w:val="00B555CA"/>
    <w:rsid w:val="00B652C8"/>
    <w:rsid w:val="00B75B1A"/>
    <w:rsid w:val="00B86EBF"/>
    <w:rsid w:val="00B940DB"/>
    <w:rsid w:val="00BA4948"/>
    <w:rsid w:val="00BA5FF6"/>
    <w:rsid w:val="00BA7798"/>
    <w:rsid w:val="00BB3B5D"/>
    <w:rsid w:val="00BB46E3"/>
    <w:rsid w:val="00BB77C8"/>
    <w:rsid w:val="00BC11BD"/>
    <w:rsid w:val="00BD0C0A"/>
    <w:rsid w:val="00BD71C9"/>
    <w:rsid w:val="00BE2886"/>
    <w:rsid w:val="00BE29FA"/>
    <w:rsid w:val="00BE2A6D"/>
    <w:rsid w:val="00BF0864"/>
    <w:rsid w:val="00C07F9F"/>
    <w:rsid w:val="00C15ED5"/>
    <w:rsid w:val="00C21A49"/>
    <w:rsid w:val="00C40473"/>
    <w:rsid w:val="00C42527"/>
    <w:rsid w:val="00C42EBB"/>
    <w:rsid w:val="00C6586E"/>
    <w:rsid w:val="00C708EA"/>
    <w:rsid w:val="00C75B5A"/>
    <w:rsid w:val="00C764E4"/>
    <w:rsid w:val="00C77481"/>
    <w:rsid w:val="00C83295"/>
    <w:rsid w:val="00CA7A8F"/>
    <w:rsid w:val="00CC2FEE"/>
    <w:rsid w:val="00CD385C"/>
    <w:rsid w:val="00CE0725"/>
    <w:rsid w:val="00CE2738"/>
    <w:rsid w:val="00CE2770"/>
    <w:rsid w:val="00CF412D"/>
    <w:rsid w:val="00CF6E9B"/>
    <w:rsid w:val="00D0343B"/>
    <w:rsid w:val="00D05AB2"/>
    <w:rsid w:val="00D176CC"/>
    <w:rsid w:val="00D20D14"/>
    <w:rsid w:val="00D35F60"/>
    <w:rsid w:val="00D409A8"/>
    <w:rsid w:val="00D54D05"/>
    <w:rsid w:val="00D566BC"/>
    <w:rsid w:val="00D6204B"/>
    <w:rsid w:val="00D63F9B"/>
    <w:rsid w:val="00D86FA3"/>
    <w:rsid w:val="00D87CB7"/>
    <w:rsid w:val="00D900F8"/>
    <w:rsid w:val="00DA3570"/>
    <w:rsid w:val="00DB16AA"/>
    <w:rsid w:val="00DB5BB3"/>
    <w:rsid w:val="00DB6A17"/>
    <w:rsid w:val="00DB6B6B"/>
    <w:rsid w:val="00DD1EB5"/>
    <w:rsid w:val="00DE7720"/>
    <w:rsid w:val="00DE78EE"/>
    <w:rsid w:val="00DF484F"/>
    <w:rsid w:val="00DF4C0E"/>
    <w:rsid w:val="00DF4E52"/>
    <w:rsid w:val="00DF5242"/>
    <w:rsid w:val="00E05D84"/>
    <w:rsid w:val="00E075F0"/>
    <w:rsid w:val="00E153C3"/>
    <w:rsid w:val="00E2572D"/>
    <w:rsid w:val="00E40C3C"/>
    <w:rsid w:val="00E4118A"/>
    <w:rsid w:val="00E42869"/>
    <w:rsid w:val="00E4379E"/>
    <w:rsid w:val="00E439C1"/>
    <w:rsid w:val="00E46E3E"/>
    <w:rsid w:val="00E532DA"/>
    <w:rsid w:val="00E655A0"/>
    <w:rsid w:val="00E74C6C"/>
    <w:rsid w:val="00E977B0"/>
    <w:rsid w:val="00EA009A"/>
    <w:rsid w:val="00EA06D7"/>
    <w:rsid w:val="00EB1EE3"/>
    <w:rsid w:val="00EB242F"/>
    <w:rsid w:val="00EB2509"/>
    <w:rsid w:val="00EB5BF8"/>
    <w:rsid w:val="00EC211A"/>
    <w:rsid w:val="00ED15D0"/>
    <w:rsid w:val="00ED693C"/>
    <w:rsid w:val="00EE488C"/>
    <w:rsid w:val="00EF3F4D"/>
    <w:rsid w:val="00EF410D"/>
    <w:rsid w:val="00EF4DF5"/>
    <w:rsid w:val="00EF7A97"/>
    <w:rsid w:val="00F128A9"/>
    <w:rsid w:val="00F177ED"/>
    <w:rsid w:val="00F3404D"/>
    <w:rsid w:val="00F37C50"/>
    <w:rsid w:val="00F42E68"/>
    <w:rsid w:val="00F45F60"/>
    <w:rsid w:val="00F47EC9"/>
    <w:rsid w:val="00F62318"/>
    <w:rsid w:val="00F67259"/>
    <w:rsid w:val="00F720CA"/>
    <w:rsid w:val="00F73CC1"/>
    <w:rsid w:val="00F84CE2"/>
    <w:rsid w:val="00FB160C"/>
    <w:rsid w:val="00FB63AF"/>
    <w:rsid w:val="00FC6FD1"/>
    <w:rsid w:val="00FC7EB9"/>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61CC2-D56F-4B40-9BC1-BFD9E50D1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3976</Words>
  <Characters>21868</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334</cp:revision>
  <cp:lastPrinted>2002-10-30T12:42:00Z</cp:lastPrinted>
  <dcterms:created xsi:type="dcterms:W3CDTF">2014-05-15T13:29:00Z</dcterms:created>
  <dcterms:modified xsi:type="dcterms:W3CDTF">2017-11-18T08:34:00Z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