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E6E" w:rsidRPr="00D31D2C" w:rsidRDefault="001A1E6E" w:rsidP="00D31D2C">
      <w:pPr>
        <w:pStyle w:val="Geenafstand"/>
        <w:rPr>
          <w:b/>
          <w:sz w:val="32"/>
          <w:szCs w:val="32"/>
        </w:rPr>
      </w:pPr>
      <w:r w:rsidRPr="00D31D2C">
        <w:rPr>
          <w:b/>
          <w:sz w:val="32"/>
          <w:szCs w:val="32"/>
        </w:rPr>
        <w:t xml:space="preserve">Open Universiteit, Software Evolution (IM0202)             </w:t>
      </w:r>
    </w:p>
    <w:p w:rsidR="001A1E6E" w:rsidRPr="00D31D2C" w:rsidRDefault="001A1E6E" w:rsidP="001A1E6E">
      <w:pPr>
        <w:pStyle w:val="Geenafstand"/>
        <w:rPr>
          <w:rFonts w:ascii="Times New Roman" w:hAnsi="Times New Roman" w:cs="Times New Roman"/>
          <w:b/>
          <w:sz w:val="32"/>
          <w:szCs w:val="32"/>
          <w:lang w:eastAsia="nl-NL"/>
        </w:rPr>
      </w:pPr>
      <w:r w:rsidRPr="00D31D2C">
        <w:rPr>
          <w:b/>
          <w:sz w:val="32"/>
          <w:szCs w:val="32"/>
          <w:lang w:eastAsia="nl-NL"/>
        </w:rPr>
        <w:t>Opdracht 1: Software metrieken</w:t>
      </w:r>
    </w:p>
    <w:p w:rsidR="001A1E6E" w:rsidRPr="00972AA6" w:rsidRDefault="001A1E6E" w:rsidP="00D31D2C">
      <w:pPr>
        <w:pStyle w:val="Kop2"/>
        <w:rPr>
          <w:rFonts w:ascii="Arial" w:hAnsi="Arial" w:cs="Arial"/>
          <w:sz w:val="28"/>
          <w:szCs w:val="28"/>
        </w:rPr>
      </w:pPr>
      <w:r w:rsidRPr="00972AA6">
        <w:rPr>
          <w:rFonts w:ascii="Arial" w:hAnsi="Arial" w:cs="Arial"/>
          <w:sz w:val="28"/>
          <w:szCs w:val="28"/>
        </w:rPr>
        <w:t>Studentgegevens</w:t>
      </w:r>
    </w:p>
    <w:p w:rsidR="001A1E6E" w:rsidRPr="001A1E6E" w:rsidRDefault="001A1E6E" w:rsidP="00D31D2C">
      <w:pPr>
        <w:pStyle w:val="Geenafstand"/>
        <w:rPr>
          <w:rFonts w:ascii="Times New Roman" w:hAnsi="Times New Roman" w:cs="Times New Roman"/>
          <w:sz w:val="24"/>
          <w:szCs w:val="24"/>
          <w:lang w:eastAsia="nl-NL"/>
        </w:rPr>
      </w:pPr>
      <w:r w:rsidRPr="001A1E6E">
        <w:rPr>
          <w:lang w:eastAsia="nl-NL"/>
        </w:rPr>
        <w:t>Marco Huijben: 838316640</w:t>
      </w:r>
    </w:p>
    <w:p w:rsidR="001A1E6E" w:rsidRDefault="001A1E6E" w:rsidP="001A1E6E">
      <w:pPr>
        <w:spacing w:after="0" w:line="331" w:lineRule="atLeast"/>
        <w:rPr>
          <w:rFonts w:ascii="Arial" w:eastAsia="Times New Roman" w:hAnsi="Arial" w:cs="Arial"/>
          <w:color w:val="000000"/>
          <w:sz w:val="20"/>
          <w:szCs w:val="20"/>
          <w:lang w:eastAsia="nl-NL"/>
        </w:rPr>
      </w:pPr>
      <w:r w:rsidRPr="001A1E6E">
        <w:rPr>
          <w:rFonts w:ascii="Arial" w:eastAsia="Times New Roman" w:hAnsi="Arial" w:cs="Arial"/>
          <w:color w:val="000000"/>
          <w:sz w:val="20"/>
          <w:szCs w:val="20"/>
          <w:lang w:eastAsia="nl-NL"/>
        </w:rPr>
        <w:t xml:space="preserve">Ivo Willemsen: </w:t>
      </w:r>
    </w:p>
    <w:p w:rsidR="00972AA6" w:rsidRPr="001A1E6E" w:rsidRDefault="00972AA6" w:rsidP="001A1E6E">
      <w:pPr>
        <w:spacing w:after="0" w:line="331" w:lineRule="atLeast"/>
        <w:rPr>
          <w:rFonts w:ascii="Times New Roman" w:eastAsia="Times New Roman" w:hAnsi="Times New Roman" w:cs="Times New Roman"/>
          <w:color w:val="000000"/>
          <w:sz w:val="24"/>
          <w:szCs w:val="24"/>
          <w:lang w:eastAsia="nl-NL"/>
        </w:rPr>
      </w:pPr>
    </w:p>
    <w:p w:rsidR="001A1E6E" w:rsidRPr="00972AA6" w:rsidRDefault="001A1E6E" w:rsidP="00972AA6">
      <w:pPr>
        <w:pStyle w:val="Geenafstand"/>
        <w:rPr>
          <w:rFonts w:ascii="Arial" w:hAnsi="Arial" w:cs="Arial"/>
          <w:b/>
          <w:sz w:val="28"/>
          <w:szCs w:val="28"/>
          <w:lang w:eastAsia="nl-NL"/>
        </w:rPr>
      </w:pPr>
      <w:r w:rsidRPr="00972AA6">
        <w:rPr>
          <w:rFonts w:ascii="Arial" w:hAnsi="Arial" w:cs="Arial"/>
          <w:b/>
          <w:sz w:val="28"/>
          <w:szCs w:val="28"/>
          <w:lang w:eastAsia="nl-NL"/>
        </w:rPr>
        <w:t>Samenwerking</w:t>
      </w:r>
    </w:p>
    <w:p w:rsidR="001A1E6E" w:rsidRPr="00972AA6" w:rsidRDefault="001A1E6E" w:rsidP="00972AA6">
      <w:pPr>
        <w:spacing w:after="0" w:line="331" w:lineRule="atLeast"/>
        <w:rPr>
          <w:rFonts w:eastAsia="Times New Roman" w:cstheme="minorHAnsi"/>
          <w:color w:val="000000"/>
          <w:lang w:eastAsia="nl-NL"/>
        </w:rPr>
      </w:pPr>
      <w:r w:rsidRPr="001A1E6E">
        <w:rPr>
          <w:rFonts w:eastAsia="Times New Roman" w:cstheme="minorHAnsi"/>
          <w:color w:val="000000"/>
          <w:lang w:eastAsia="nl-NL"/>
        </w:rPr>
        <w:t>Wij hebben besloten om de implementatie van de metrieken te verdelen. Ivo heeft de volume, duplication en de unit test coverage metrieken uitgewerkt. Ook heeft hij de GitHub omgeving opgezet en een eerste opzet gemaakt voor de structuur van de Rascal implementatie.</w:t>
      </w:r>
      <w:r w:rsidR="00972AA6">
        <w:rPr>
          <w:rFonts w:eastAsia="Times New Roman" w:cstheme="minorHAnsi"/>
          <w:color w:val="000000"/>
          <w:lang w:eastAsia="nl-NL"/>
        </w:rPr>
        <w:t xml:space="preserve"> </w:t>
      </w:r>
      <w:r w:rsidRPr="001A1E6E">
        <w:rPr>
          <w:rFonts w:eastAsia="Times New Roman" w:cstheme="minorHAnsi"/>
          <w:color w:val="000000"/>
          <w:lang w:eastAsia="nl-NL"/>
        </w:rPr>
        <w:t xml:space="preserve">De metrieken voor de complexiteit voor elke unit en de size van elke unit zijn door Marco geïmplementeerd. </w:t>
      </w:r>
      <w:r w:rsidR="000C09D2">
        <w:rPr>
          <w:rFonts w:eastAsia="Times New Roman" w:cstheme="minorHAnsi"/>
          <w:color w:val="000000"/>
          <w:lang w:eastAsia="nl-NL"/>
        </w:rPr>
        <w:t>Marco heeft ook de opzet van het verslag gemaakt.</w:t>
      </w:r>
    </w:p>
    <w:p w:rsidR="001A1E6E" w:rsidRDefault="001A1E6E" w:rsidP="001A1E6E">
      <w:pPr>
        <w:spacing w:after="0" w:line="331" w:lineRule="atLeast"/>
        <w:rPr>
          <w:rFonts w:eastAsia="Times New Roman" w:cstheme="minorHAnsi"/>
          <w:color w:val="000000"/>
          <w:lang w:eastAsia="nl-NL"/>
        </w:rPr>
      </w:pPr>
      <w:r w:rsidRPr="001A1E6E">
        <w:rPr>
          <w:rFonts w:eastAsia="Times New Roman" w:cstheme="minorHAnsi"/>
          <w:color w:val="000000"/>
          <w:lang w:eastAsia="nl-NL"/>
        </w:rPr>
        <w:t xml:space="preserve">Marco en Ivo hebben regelmatig via mail, WhatsApp en telefonisch overlegd. Tijdens deze contactmomenten is o.a. besproken op welke wijze de metrieken </w:t>
      </w:r>
      <w:r w:rsidR="00D31D2C">
        <w:rPr>
          <w:rFonts w:eastAsia="Times New Roman" w:cstheme="minorHAnsi"/>
          <w:color w:val="000000"/>
          <w:lang w:eastAsia="nl-NL"/>
        </w:rPr>
        <w:t xml:space="preserve">precies </w:t>
      </w:r>
      <w:r w:rsidR="00D31D2C" w:rsidRPr="001A1E6E">
        <w:rPr>
          <w:rFonts w:eastAsia="Times New Roman" w:cstheme="minorHAnsi"/>
          <w:color w:val="000000"/>
          <w:lang w:eastAsia="nl-NL"/>
        </w:rPr>
        <w:t>geïmplanteerd</w:t>
      </w:r>
      <w:r w:rsidRPr="001A1E6E">
        <w:rPr>
          <w:rFonts w:eastAsia="Times New Roman" w:cstheme="minorHAnsi"/>
          <w:color w:val="000000"/>
          <w:lang w:eastAsia="nl-NL"/>
        </w:rPr>
        <w:t xml:space="preserve"> </w:t>
      </w:r>
      <w:r w:rsidR="00D31D2C">
        <w:rPr>
          <w:rFonts w:eastAsia="Times New Roman" w:cstheme="minorHAnsi"/>
          <w:color w:val="000000"/>
          <w:lang w:eastAsia="nl-NL"/>
        </w:rPr>
        <w:t>moeten worden</w:t>
      </w:r>
      <w:r w:rsidR="00972AA6">
        <w:rPr>
          <w:rFonts w:eastAsia="Times New Roman" w:cstheme="minorHAnsi"/>
          <w:color w:val="000000"/>
          <w:lang w:eastAsia="nl-NL"/>
        </w:rPr>
        <w:t>.</w:t>
      </w:r>
    </w:p>
    <w:p w:rsidR="00972AA6" w:rsidRPr="001A1E6E" w:rsidRDefault="00972AA6" w:rsidP="001A1E6E">
      <w:pPr>
        <w:spacing w:after="0" w:line="331" w:lineRule="atLeast"/>
        <w:rPr>
          <w:rFonts w:eastAsia="Times New Roman" w:cstheme="minorHAnsi"/>
          <w:color w:val="000000"/>
          <w:lang w:eastAsia="nl-NL"/>
        </w:rPr>
      </w:pPr>
    </w:p>
    <w:p w:rsidR="001A1E6E" w:rsidRPr="00972AA6" w:rsidRDefault="001A1E6E" w:rsidP="00972AA6">
      <w:pPr>
        <w:pStyle w:val="Geenafstand"/>
        <w:rPr>
          <w:rFonts w:ascii="Arial" w:hAnsi="Arial" w:cs="Arial"/>
          <w:b/>
          <w:sz w:val="28"/>
          <w:szCs w:val="28"/>
          <w:lang w:eastAsia="nl-NL"/>
        </w:rPr>
      </w:pPr>
      <w:r w:rsidRPr="00972AA6">
        <w:rPr>
          <w:rFonts w:ascii="Arial" w:hAnsi="Arial" w:cs="Arial"/>
          <w:b/>
          <w:sz w:val="28"/>
          <w:szCs w:val="28"/>
          <w:lang w:eastAsia="nl-NL"/>
        </w:rPr>
        <w:t>Aannames</w:t>
      </w:r>
    </w:p>
    <w:p w:rsidR="001A1E6E" w:rsidRPr="00972AA6" w:rsidRDefault="000C09D2" w:rsidP="001A1E6E">
      <w:pPr>
        <w:spacing w:after="0" w:line="331" w:lineRule="atLeast"/>
        <w:rPr>
          <w:rFonts w:eastAsia="Times New Roman" w:cstheme="minorHAnsi"/>
          <w:color w:val="000000"/>
          <w:lang w:eastAsia="nl-NL"/>
        </w:rPr>
      </w:pPr>
      <w:r w:rsidRPr="00972AA6">
        <w:rPr>
          <w:rFonts w:eastAsia="Times New Roman" w:cstheme="minorHAnsi"/>
          <w:color w:val="000000"/>
          <w:lang w:eastAsia="nl-NL"/>
        </w:rPr>
        <w:t>De volgende aannames zijn gemaakt:</w:t>
      </w:r>
    </w:p>
    <w:p w:rsidR="00107A64" w:rsidRDefault="00107A64" w:rsidP="000C09D2">
      <w:pPr>
        <w:pStyle w:val="Lijstalinea"/>
        <w:numPr>
          <w:ilvl w:val="0"/>
          <w:numId w:val="2"/>
        </w:numPr>
        <w:spacing w:after="0" w:line="331" w:lineRule="atLeast"/>
        <w:rPr>
          <w:rFonts w:eastAsia="Times New Roman" w:cstheme="minorHAnsi"/>
          <w:color w:val="000000"/>
          <w:lang w:eastAsia="nl-NL"/>
        </w:rPr>
      </w:pPr>
      <w:r>
        <w:rPr>
          <w:rFonts w:eastAsia="Times New Roman" w:cstheme="minorHAnsi"/>
          <w:color w:val="000000"/>
          <w:lang w:eastAsia="nl-NL"/>
        </w:rPr>
        <w:t>Voor het bereken van de metriek “Complexity per unit” en “size of each unit” wordt een methode in een Java klasse als unit beschouwd. Immers een methode is de kleinst mogelijke uitvoerbare onderdeel.</w:t>
      </w:r>
    </w:p>
    <w:p w:rsidR="000C09D2" w:rsidRDefault="000C09D2" w:rsidP="000C09D2">
      <w:pPr>
        <w:pStyle w:val="Lijstalinea"/>
        <w:numPr>
          <w:ilvl w:val="0"/>
          <w:numId w:val="2"/>
        </w:numPr>
        <w:spacing w:after="0" w:line="331" w:lineRule="atLeast"/>
        <w:rPr>
          <w:rFonts w:eastAsia="Times New Roman" w:cstheme="minorHAnsi"/>
          <w:color w:val="000000"/>
          <w:lang w:eastAsia="nl-NL"/>
        </w:rPr>
      </w:pPr>
      <w:r w:rsidRPr="00972AA6">
        <w:rPr>
          <w:rFonts w:eastAsia="Times New Roman" w:cstheme="minorHAnsi"/>
          <w:color w:val="000000"/>
          <w:lang w:eastAsia="nl-NL"/>
        </w:rPr>
        <w:t xml:space="preserve">Voor het bepalen van de waarde voor de metriek “size of each unit” </w:t>
      </w:r>
      <w:r w:rsidR="00972AA6" w:rsidRPr="00972AA6">
        <w:rPr>
          <w:rFonts w:eastAsia="Times New Roman" w:cstheme="minorHAnsi"/>
          <w:color w:val="000000"/>
          <w:lang w:eastAsia="nl-NL"/>
        </w:rPr>
        <w:t>is gebru</w:t>
      </w:r>
      <w:r w:rsidR="00972AA6">
        <w:rPr>
          <w:rFonts w:eastAsia="Times New Roman" w:cstheme="minorHAnsi"/>
          <w:color w:val="000000"/>
          <w:lang w:eastAsia="nl-NL"/>
        </w:rPr>
        <w:t>i</w:t>
      </w:r>
      <w:r w:rsidR="00972AA6" w:rsidRPr="00972AA6">
        <w:rPr>
          <w:rFonts w:eastAsia="Times New Roman" w:cstheme="minorHAnsi"/>
          <w:color w:val="000000"/>
          <w:lang w:eastAsia="nl-NL"/>
        </w:rPr>
        <w:t>k ge</w:t>
      </w:r>
      <w:r w:rsidR="00972AA6">
        <w:rPr>
          <w:rFonts w:eastAsia="Times New Roman" w:cstheme="minorHAnsi"/>
          <w:color w:val="000000"/>
          <w:lang w:eastAsia="nl-NL"/>
        </w:rPr>
        <w:t>m</w:t>
      </w:r>
      <w:r w:rsidR="00972AA6" w:rsidRPr="00972AA6">
        <w:rPr>
          <w:rFonts w:eastAsia="Times New Roman" w:cstheme="minorHAnsi"/>
          <w:color w:val="000000"/>
          <w:lang w:eastAsia="nl-NL"/>
        </w:rPr>
        <w:t>aakt van tabel IIIa in het artikel “Benchmark based Aggregation of Metric to Ratings”</w:t>
      </w:r>
      <w:r w:rsidR="00972AA6" w:rsidRPr="00972AA6">
        <w:rPr>
          <w:rStyle w:val="Eindnootmarkering"/>
          <w:rFonts w:eastAsia="Times New Roman" w:cstheme="minorHAnsi"/>
          <w:color w:val="000000"/>
          <w:lang w:eastAsia="nl-NL"/>
        </w:rPr>
        <w:endnoteReference w:id="1"/>
      </w:r>
      <w:r w:rsidR="00972AA6">
        <w:rPr>
          <w:rFonts w:eastAsia="Times New Roman" w:cstheme="minorHAnsi"/>
          <w:color w:val="000000"/>
          <w:lang w:eastAsia="nl-NL"/>
        </w:rPr>
        <w:t>.</w:t>
      </w:r>
    </w:p>
    <w:p w:rsidR="00972AA6" w:rsidRPr="00972AA6" w:rsidRDefault="00972AA6" w:rsidP="00972AA6">
      <w:pPr>
        <w:pStyle w:val="Lijstalinea"/>
        <w:spacing w:after="0" w:line="331" w:lineRule="atLeast"/>
        <w:ind w:left="360"/>
        <w:rPr>
          <w:rFonts w:eastAsia="Times New Roman" w:cstheme="minorHAnsi"/>
          <w:color w:val="000000"/>
          <w:lang w:eastAsia="nl-NL"/>
        </w:rPr>
      </w:pPr>
    </w:p>
    <w:p w:rsidR="001A1E6E" w:rsidRPr="00972AA6" w:rsidRDefault="001A1E6E" w:rsidP="00972AA6">
      <w:pPr>
        <w:pStyle w:val="Geenafstand"/>
        <w:rPr>
          <w:rFonts w:ascii="Arial" w:hAnsi="Arial" w:cs="Arial"/>
          <w:b/>
          <w:sz w:val="28"/>
          <w:szCs w:val="28"/>
          <w:lang w:eastAsia="nl-NL"/>
        </w:rPr>
      </w:pPr>
      <w:r w:rsidRPr="00972AA6">
        <w:rPr>
          <w:rFonts w:ascii="Arial" w:hAnsi="Arial" w:cs="Arial"/>
          <w:b/>
          <w:sz w:val="28"/>
          <w:szCs w:val="28"/>
          <w:lang w:eastAsia="nl-NL"/>
        </w:rPr>
        <w:t>Resultaten</w:t>
      </w:r>
    </w:p>
    <w:p w:rsidR="00B43F00" w:rsidRDefault="0071707D" w:rsidP="00972AA6">
      <w:pPr>
        <w:rPr>
          <w:lang w:eastAsia="nl-NL"/>
        </w:rPr>
      </w:pPr>
      <w:r>
        <w:rPr>
          <w:lang w:eastAsia="nl-NL"/>
        </w:rPr>
        <w:t xml:space="preserve">De paragraaf bevat de metrieken van de applicaties SmallSQL en HyperSQL. </w:t>
      </w:r>
    </w:p>
    <w:p w:rsidR="00B43F00" w:rsidRPr="00B52E10" w:rsidRDefault="00B43F00" w:rsidP="00B43F00">
      <w:pPr>
        <w:pStyle w:val="Geenafstand"/>
        <w:rPr>
          <w:b/>
          <w:u w:val="single"/>
          <w:lang w:eastAsia="nl-NL"/>
        </w:rPr>
      </w:pPr>
      <w:r w:rsidRPr="00B52E10">
        <w:rPr>
          <w:b/>
          <w:u w:val="single"/>
          <w:lang w:eastAsia="nl-NL"/>
        </w:rPr>
        <w:t>Resultaten SmallSQL</w:t>
      </w:r>
    </w:p>
    <w:p w:rsidR="00972AA6" w:rsidRDefault="0071707D" w:rsidP="00972AA6">
      <w:pPr>
        <w:rPr>
          <w:lang w:eastAsia="nl-NL"/>
        </w:rPr>
      </w:pPr>
      <w:r>
        <w:rPr>
          <w:lang w:eastAsia="nl-NL"/>
        </w:rPr>
        <w:t>De resultaten van SmallSQL zijn:</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B43F00" w:rsidTr="00B43F00">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D739BB" w:rsidRDefault="00D739BB" w:rsidP="00972AA6">
            <w:pPr>
              <w:rPr>
                <w:lang w:eastAsia="nl-NL"/>
              </w:rPr>
            </w:pPr>
          </w:p>
        </w:tc>
        <w:tc>
          <w:tcPr>
            <w:tcW w:w="992" w:type="dxa"/>
            <w:tcBorders>
              <w:left w:val="single" w:sz="4" w:space="0" w:color="auto"/>
            </w:tcBorders>
          </w:tcPr>
          <w:p w:rsidR="00D739BB" w:rsidRDefault="00B43F00" w:rsidP="00D739BB">
            <w:pPr>
              <w:jc w:val="center"/>
              <w:rPr>
                <w:lang w:eastAsia="nl-NL"/>
              </w:rPr>
            </w:pPr>
            <w:r>
              <w:rPr>
                <w:lang w:eastAsia="nl-NL"/>
              </w:rPr>
              <w:t>V</w:t>
            </w:r>
            <w:r w:rsidR="00D739BB">
              <w:rPr>
                <w:lang w:eastAsia="nl-NL"/>
              </w:rPr>
              <w:t>olume</w:t>
            </w:r>
          </w:p>
        </w:tc>
        <w:tc>
          <w:tcPr>
            <w:tcW w:w="1559" w:type="dxa"/>
          </w:tcPr>
          <w:p w:rsidR="00D739BB" w:rsidRDefault="00D739BB" w:rsidP="00D739BB">
            <w:pPr>
              <w:jc w:val="center"/>
              <w:rPr>
                <w:lang w:eastAsia="nl-NL"/>
              </w:rPr>
            </w:pPr>
            <w:r>
              <w:rPr>
                <w:lang w:eastAsia="nl-NL"/>
              </w:rPr>
              <w:t>Complexity per unit</w:t>
            </w:r>
          </w:p>
        </w:tc>
        <w:tc>
          <w:tcPr>
            <w:tcW w:w="1418" w:type="dxa"/>
          </w:tcPr>
          <w:p w:rsidR="00D739BB" w:rsidRDefault="00B43F00" w:rsidP="00D739BB">
            <w:pPr>
              <w:jc w:val="center"/>
              <w:rPr>
                <w:lang w:eastAsia="nl-NL"/>
              </w:rPr>
            </w:pPr>
            <w:r>
              <w:rPr>
                <w:lang w:eastAsia="nl-NL"/>
              </w:rPr>
              <w:t>D</w:t>
            </w:r>
            <w:r w:rsidR="00D739BB">
              <w:rPr>
                <w:lang w:eastAsia="nl-NL"/>
              </w:rPr>
              <w:t>uplication</w:t>
            </w:r>
          </w:p>
        </w:tc>
        <w:tc>
          <w:tcPr>
            <w:tcW w:w="1559" w:type="dxa"/>
          </w:tcPr>
          <w:p w:rsidR="00D739BB" w:rsidRDefault="00D739BB" w:rsidP="00D739BB">
            <w:pPr>
              <w:jc w:val="center"/>
              <w:rPr>
                <w:lang w:eastAsia="nl-NL"/>
              </w:rPr>
            </w:pPr>
            <w:r>
              <w:rPr>
                <w:lang w:eastAsia="nl-NL"/>
              </w:rPr>
              <w:t>Unit size</w:t>
            </w:r>
          </w:p>
        </w:tc>
        <w:tc>
          <w:tcPr>
            <w:tcW w:w="1551" w:type="dxa"/>
          </w:tcPr>
          <w:p w:rsidR="00D739BB" w:rsidRDefault="00D739BB" w:rsidP="00D739BB">
            <w:pPr>
              <w:jc w:val="center"/>
              <w:rPr>
                <w:lang w:eastAsia="nl-NL"/>
              </w:rPr>
            </w:pPr>
            <w:r>
              <w:rPr>
                <w:lang w:eastAsia="nl-NL"/>
              </w:rPr>
              <w:t>Unit testing</w:t>
            </w:r>
          </w:p>
        </w:tc>
        <w:tc>
          <w:tcPr>
            <w:tcW w:w="502" w:type="dxa"/>
            <w:vMerge w:val="restart"/>
            <w:tcBorders>
              <w:top w:val="nil"/>
              <w:right w:val="nil"/>
            </w:tcBorders>
          </w:tcPr>
          <w:p w:rsidR="00D739BB" w:rsidRDefault="00D739BB" w:rsidP="00972AA6">
            <w:pPr>
              <w:rPr>
                <w:lang w:eastAsia="nl-NL"/>
              </w:rPr>
            </w:pPr>
          </w:p>
        </w:tc>
      </w:tr>
      <w:tr w:rsidR="00B43F00" w:rsidTr="00B43F00">
        <w:trPr>
          <w:gridAfter w:val="1"/>
          <w:wAfter w:w="492" w:type="dxa"/>
        </w:trPr>
        <w:tc>
          <w:tcPr>
            <w:tcW w:w="1555" w:type="dxa"/>
            <w:vMerge/>
            <w:tcBorders>
              <w:left w:val="nil"/>
              <w:bottom w:val="single" w:sz="4" w:space="0" w:color="auto"/>
              <w:right w:val="single" w:sz="4" w:space="0" w:color="auto"/>
            </w:tcBorders>
          </w:tcPr>
          <w:p w:rsidR="00D739BB" w:rsidRDefault="00D739BB" w:rsidP="00972AA6">
            <w:pPr>
              <w:rPr>
                <w:lang w:eastAsia="nl-NL"/>
              </w:rPr>
            </w:pPr>
          </w:p>
        </w:tc>
        <w:tc>
          <w:tcPr>
            <w:tcW w:w="992" w:type="dxa"/>
            <w:tcBorders>
              <w:left w:val="single" w:sz="4" w:space="0" w:color="auto"/>
            </w:tcBorders>
          </w:tcPr>
          <w:p w:rsidR="00D739BB" w:rsidRDefault="00B43F00" w:rsidP="00B43F00">
            <w:pPr>
              <w:jc w:val="center"/>
              <w:rPr>
                <w:lang w:eastAsia="nl-NL"/>
              </w:rPr>
            </w:pPr>
            <w:r>
              <w:rPr>
                <w:lang w:eastAsia="nl-NL"/>
              </w:rPr>
              <w:t>++</w:t>
            </w:r>
          </w:p>
        </w:tc>
        <w:tc>
          <w:tcPr>
            <w:tcW w:w="1559" w:type="dxa"/>
          </w:tcPr>
          <w:p w:rsidR="00D739BB" w:rsidRDefault="00B43F00" w:rsidP="00B43F00">
            <w:pPr>
              <w:jc w:val="center"/>
              <w:rPr>
                <w:lang w:eastAsia="nl-NL"/>
              </w:rPr>
            </w:pPr>
            <w:r>
              <w:rPr>
                <w:lang w:eastAsia="nl-NL"/>
              </w:rPr>
              <w:t>--</w:t>
            </w:r>
          </w:p>
        </w:tc>
        <w:tc>
          <w:tcPr>
            <w:tcW w:w="1418" w:type="dxa"/>
          </w:tcPr>
          <w:p w:rsidR="00D739BB" w:rsidRDefault="00B43F00" w:rsidP="00B43F00">
            <w:pPr>
              <w:jc w:val="center"/>
              <w:rPr>
                <w:lang w:eastAsia="nl-NL"/>
              </w:rPr>
            </w:pPr>
            <w:r>
              <w:rPr>
                <w:lang w:eastAsia="nl-NL"/>
              </w:rPr>
              <w:t>-</w:t>
            </w:r>
          </w:p>
        </w:tc>
        <w:tc>
          <w:tcPr>
            <w:tcW w:w="1559" w:type="dxa"/>
          </w:tcPr>
          <w:p w:rsidR="00D739BB" w:rsidRDefault="00B43F00" w:rsidP="00B43F00">
            <w:pPr>
              <w:jc w:val="center"/>
              <w:rPr>
                <w:lang w:eastAsia="nl-NL"/>
              </w:rPr>
            </w:pPr>
            <w:r>
              <w:rPr>
                <w:lang w:eastAsia="nl-NL"/>
              </w:rPr>
              <w:t>-</w:t>
            </w:r>
          </w:p>
        </w:tc>
        <w:tc>
          <w:tcPr>
            <w:tcW w:w="1551" w:type="dxa"/>
          </w:tcPr>
          <w:p w:rsidR="00D739BB" w:rsidRDefault="00B43F00" w:rsidP="00B43F00">
            <w:pPr>
              <w:jc w:val="center"/>
              <w:rPr>
                <w:lang w:eastAsia="nl-NL"/>
              </w:rPr>
            </w:pPr>
            <w:r>
              <w:rPr>
                <w:lang w:eastAsia="nl-NL"/>
              </w:rPr>
              <w:t>--</w:t>
            </w:r>
          </w:p>
        </w:tc>
        <w:tc>
          <w:tcPr>
            <w:tcW w:w="502" w:type="dxa"/>
            <w:vMerge/>
            <w:tcBorders>
              <w:right w:val="nil"/>
            </w:tcBorders>
          </w:tcPr>
          <w:p w:rsidR="00D739BB" w:rsidRDefault="00D739BB" w:rsidP="00972AA6">
            <w:pPr>
              <w:rPr>
                <w:lang w:eastAsia="nl-NL"/>
              </w:rPr>
            </w:pPr>
          </w:p>
        </w:tc>
      </w:tr>
      <w:tr w:rsidR="00D739BB" w:rsidTr="00B43F00">
        <w:tc>
          <w:tcPr>
            <w:tcW w:w="1555" w:type="dxa"/>
            <w:tcBorders>
              <w:top w:val="single" w:sz="4" w:space="0" w:color="auto"/>
            </w:tcBorders>
          </w:tcPr>
          <w:p w:rsidR="0071707D" w:rsidRDefault="0071707D" w:rsidP="00972AA6">
            <w:pPr>
              <w:rPr>
                <w:lang w:eastAsia="nl-NL"/>
              </w:rPr>
            </w:pPr>
            <w:r>
              <w:rPr>
                <w:lang w:eastAsia="nl-NL"/>
              </w:rPr>
              <w:t>Analysability</w:t>
            </w:r>
          </w:p>
        </w:tc>
        <w:tc>
          <w:tcPr>
            <w:tcW w:w="992" w:type="dxa"/>
          </w:tcPr>
          <w:p w:rsidR="0071707D" w:rsidRDefault="00B43F00" w:rsidP="00B43F00">
            <w:pPr>
              <w:jc w:val="center"/>
              <w:rPr>
                <w:lang w:eastAsia="nl-NL"/>
              </w:rPr>
            </w:pPr>
            <w:r>
              <w:rPr>
                <w:lang w:eastAsia="nl-NL"/>
              </w:rPr>
              <w:t>x</w:t>
            </w:r>
          </w:p>
        </w:tc>
        <w:tc>
          <w:tcPr>
            <w:tcW w:w="1559" w:type="dxa"/>
          </w:tcPr>
          <w:p w:rsidR="0071707D" w:rsidRDefault="0071707D" w:rsidP="00B43F00">
            <w:pPr>
              <w:jc w:val="center"/>
              <w:rPr>
                <w:lang w:eastAsia="nl-NL"/>
              </w:rPr>
            </w:pPr>
          </w:p>
        </w:tc>
        <w:tc>
          <w:tcPr>
            <w:tcW w:w="1418" w:type="dxa"/>
          </w:tcPr>
          <w:p w:rsidR="0071707D" w:rsidRDefault="00B43F00" w:rsidP="00B43F00">
            <w:pPr>
              <w:jc w:val="center"/>
              <w:rPr>
                <w:lang w:eastAsia="nl-NL"/>
              </w:rPr>
            </w:pPr>
            <w:r>
              <w:rPr>
                <w:lang w:eastAsia="nl-NL"/>
              </w:rPr>
              <w:t>x</w:t>
            </w:r>
          </w:p>
        </w:tc>
        <w:tc>
          <w:tcPr>
            <w:tcW w:w="1559" w:type="dxa"/>
          </w:tcPr>
          <w:p w:rsidR="0071707D" w:rsidRDefault="00B43F00" w:rsidP="00B43F00">
            <w:pPr>
              <w:jc w:val="center"/>
              <w:rPr>
                <w:lang w:eastAsia="nl-NL"/>
              </w:rPr>
            </w:pPr>
            <w:r>
              <w:rPr>
                <w:lang w:eastAsia="nl-NL"/>
              </w:rPr>
              <w:t>x</w:t>
            </w:r>
          </w:p>
        </w:tc>
        <w:tc>
          <w:tcPr>
            <w:tcW w:w="1551" w:type="dxa"/>
          </w:tcPr>
          <w:p w:rsidR="0071707D" w:rsidRDefault="00B43F00" w:rsidP="00B43F00">
            <w:pPr>
              <w:jc w:val="center"/>
              <w:rPr>
                <w:lang w:eastAsia="nl-NL"/>
              </w:rPr>
            </w:pPr>
            <w:r>
              <w:rPr>
                <w:lang w:eastAsia="nl-NL"/>
              </w:rPr>
              <w:t>x</w:t>
            </w:r>
          </w:p>
        </w:tc>
        <w:tc>
          <w:tcPr>
            <w:tcW w:w="994" w:type="dxa"/>
            <w:gridSpan w:val="2"/>
          </w:tcPr>
          <w:p w:rsidR="0071707D" w:rsidRDefault="00A42409" w:rsidP="00B43F00">
            <w:pPr>
              <w:jc w:val="center"/>
              <w:rPr>
                <w:lang w:eastAsia="nl-NL"/>
              </w:rPr>
            </w:pPr>
            <w:r>
              <w:rPr>
                <w:lang w:eastAsia="nl-NL"/>
              </w:rPr>
              <w:t>-</w:t>
            </w:r>
            <w:r w:rsidR="00424AB3">
              <w:rPr>
                <w:lang w:eastAsia="nl-NL"/>
              </w:rPr>
              <w:t>\0</w:t>
            </w:r>
          </w:p>
        </w:tc>
      </w:tr>
      <w:tr w:rsidR="00D739BB" w:rsidTr="00B43F00">
        <w:tc>
          <w:tcPr>
            <w:tcW w:w="1555" w:type="dxa"/>
          </w:tcPr>
          <w:p w:rsidR="0071707D" w:rsidRDefault="00B43F00" w:rsidP="00972AA6">
            <w:pPr>
              <w:rPr>
                <w:lang w:eastAsia="nl-NL"/>
              </w:rPr>
            </w:pPr>
            <w:r>
              <w:rPr>
                <w:lang w:eastAsia="nl-NL"/>
              </w:rPr>
              <w:t>C</w:t>
            </w:r>
            <w:r w:rsidR="0071707D">
              <w:rPr>
                <w:lang w:eastAsia="nl-NL"/>
              </w:rPr>
              <w:t>hangeablity</w:t>
            </w:r>
          </w:p>
        </w:tc>
        <w:tc>
          <w:tcPr>
            <w:tcW w:w="992" w:type="dxa"/>
          </w:tcPr>
          <w:p w:rsidR="0071707D" w:rsidRDefault="0071707D" w:rsidP="00B43F00">
            <w:pPr>
              <w:jc w:val="center"/>
              <w:rPr>
                <w:lang w:eastAsia="nl-NL"/>
              </w:rPr>
            </w:pPr>
          </w:p>
        </w:tc>
        <w:tc>
          <w:tcPr>
            <w:tcW w:w="1559" w:type="dxa"/>
          </w:tcPr>
          <w:p w:rsidR="0071707D" w:rsidRDefault="00B43F00" w:rsidP="00B43F00">
            <w:pPr>
              <w:jc w:val="center"/>
              <w:rPr>
                <w:lang w:eastAsia="nl-NL"/>
              </w:rPr>
            </w:pPr>
            <w:r>
              <w:rPr>
                <w:lang w:eastAsia="nl-NL"/>
              </w:rPr>
              <w:t>x</w:t>
            </w:r>
          </w:p>
        </w:tc>
        <w:tc>
          <w:tcPr>
            <w:tcW w:w="1418" w:type="dxa"/>
          </w:tcPr>
          <w:p w:rsidR="0071707D" w:rsidRDefault="00B43F00" w:rsidP="00B43F00">
            <w:pPr>
              <w:jc w:val="center"/>
              <w:rPr>
                <w:lang w:eastAsia="nl-NL"/>
              </w:rPr>
            </w:pPr>
            <w:r>
              <w:rPr>
                <w:lang w:eastAsia="nl-NL"/>
              </w:rPr>
              <w:t>x</w:t>
            </w:r>
          </w:p>
        </w:tc>
        <w:tc>
          <w:tcPr>
            <w:tcW w:w="1559" w:type="dxa"/>
          </w:tcPr>
          <w:p w:rsidR="0071707D" w:rsidRDefault="0071707D" w:rsidP="00B43F00">
            <w:pPr>
              <w:jc w:val="center"/>
              <w:rPr>
                <w:lang w:eastAsia="nl-NL"/>
              </w:rPr>
            </w:pPr>
          </w:p>
        </w:tc>
        <w:tc>
          <w:tcPr>
            <w:tcW w:w="1551" w:type="dxa"/>
          </w:tcPr>
          <w:p w:rsidR="0071707D" w:rsidRDefault="0071707D" w:rsidP="00B43F00">
            <w:pPr>
              <w:jc w:val="center"/>
              <w:rPr>
                <w:lang w:eastAsia="nl-NL"/>
              </w:rPr>
            </w:pPr>
          </w:p>
        </w:tc>
        <w:tc>
          <w:tcPr>
            <w:tcW w:w="994" w:type="dxa"/>
            <w:gridSpan w:val="2"/>
          </w:tcPr>
          <w:p w:rsidR="0071707D" w:rsidRDefault="00A42409" w:rsidP="00B43F00">
            <w:pPr>
              <w:jc w:val="center"/>
              <w:rPr>
                <w:lang w:eastAsia="nl-NL"/>
              </w:rPr>
            </w:pPr>
            <w:r>
              <w:rPr>
                <w:lang w:eastAsia="nl-NL"/>
              </w:rPr>
              <w:t>--</w:t>
            </w:r>
          </w:p>
        </w:tc>
      </w:tr>
      <w:tr w:rsidR="00D739BB" w:rsidTr="00B43F00">
        <w:tc>
          <w:tcPr>
            <w:tcW w:w="1555" w:type="dxa"/>
          </w:tcPr>
          <w:p w:rsidR="0071707D" w:rsidRDefault="0071707D" w:rsidP="00972AA6">
            <w:pPr>
              <w:rPr>
                <w:lang w:eastAsia="nl-NL"/>
              </w:rPr>
            </w:pPr>
            <w:r>
              <w:rPr>
                <w:lang w:eastAsia="nl-NL"/>
              </w:rPr>
              <w:t>Stability</w:t>
            </w:r>
          </w:p>
        </w:tc>
        <w:tc>
          <w:tcPr>
            <w:tcW w:w="992" w:type="dxa"/>
          </w:tcPr>
          <w:p w:rsidR="0071707D" w:rsidRDefault="0071707D" w:rsidP="00B43F00">
            <w:pPr>
              <w:jc w:val="center"/>
              <w:rPr>
                <w:lang w:eastAsia="nl-NL"/>
              </w:rPr>
            </w:pPr>
          </w:p>
        </w:tc>
        <w:tc>
          <w:tcPr>
            <w:tcW w:w="1559" w:type="dxa"/>
          </w:tcPr>
          <w:p w:rsidR="0071707D" w:rsidRDefault="0071707D" w:rsidP="00B43F00">
            <w:pPr>
              <w:jc w:val="center"/>
              <w:rPr>
                <w:lang w:eastAsia="nl-NL"/>
              </w:rPr>
            </w:pPr>
          </w:p>
        </w:tc>
        <w:tc>
          <w:tcPr>
            <w:tcW w:w="1418" w:type="dxa"/>
          </w:tcPr>
          <w:p w:rsidR="0071707D" w:rsidRDefault="0071707D" w:rsidP="00B43F00">
            <w:pPr>
              <w:jc w:val="center"/>
              <w:rPr>
                <w:lang w:eastAsia="nl-NL"/>
              </w:rPr>
            </w:pPr>
          </w:p>
        </w:tc>
        <w:tc>
          <w:tcPr>
            <w:tcW w:w="1559" w:type="dxa"/>
          </w:tcPr>
          <w:p w:rsidR="0071707D" w:rsidRDefault="0071707D" w:rsidP="00B43F00">
            <w:pPr>
              <w:jc w:val="center"/>
              <w:rPr>
                <w:lang w:eastAsia="nl-NL"/>
              </w:rPr>
            </w:pPr>
          </w:p>
        </w:tc>
        <w:tc>
          <w:tcPr>
            <w:tcW w:w="1551" w:type="dxa"/>
          </w:tcPr>
          <w:p w:rsidR="0071707D" w:rsidRDefault="00B43F00" w:rsidP="00B43F00">
            <w:pPr>
              <w:jc w:val="center"/>
              <w:rPr>
                <w:lang w:eastAsia="nl-NL"/>
              </w:rPr>
            </w:pPr>
            <w:r>
              <w:rPr>
                <w:lang w:eastAsia="nl-NL"/>
              </w:rPr>
              <w:t>x</w:t>
            </w:r>
          </w:p>
        </w:tc>
        <w:tc>
          <w:tcPr>
            <w:tcW w:w="994" w:type="dxa"/>
            <w:gridSpan w:val="2"/>
          </w:tcPr>
          <w:p w:rsidR="0071707D" w:rsidRDefault="00A42409" w:rsidP="00B43F00">
            <w:pPr>
              <w:jc w:val="center"/>
              <w:rPr>
                <w:lang w:eastAsia="nl-NL"/>
              </w:rPr>
            </w:pPr>
            <w:r>
              <w:rPr>
                <w:lang w:eastAsia="nl-NL"/>
              </w:rPr>
              <w:t>--</w:t>
            </w:r>
          </w:p>
        </w:tc>
      </w:tr>
      <w:tr w:rsidR="00D739BB" w:rsidTr="00B43F00">
        <w:tc>
          <w:tcPr>
            <w:tcW w:w="1555" w:type="dxa"/>
          </w:tcPr>
          <w:p w:rsidR="0071707D" w:rsidRDefault="0071707D" w:rsidP="00972AA6">
            <w:pPr>
              <w:rPr>
                <w:lang w:eastAsia="nl-NL"/>
              </w:rPr>
            </w:pPr>
            <w:r>
              <w:rPr>
                <w:lang w:eastAsia="nl-NL"/>
              </w:rPr>
              <w:t>Testability</w:t>
            </w:r>
          </w:p>
        </w:tc>
        <w:tc>
          <w:tcPr>
            <w:tcW w:w="992" w:type="dxa"/>
          </w:tcPr>
          <w:p w:rsidR="0071707D" w:rsidRDefault="0071707D" w:rsidP="00B43F00">
            <w:pPr>
              <w:jc w:val="center"/>
              <w:rPr>
                <w:lang w:eastAsia="nl-NL"/>
              </w:rPr>
            </w:pPr>
          </w:p>
        </w:tc>
        <w:tc>
          <w:tcPr>
            <w:tcW w:w="1559" w:type="dxa"/>
          </w:tcPr>
          <w:p w:rsidR="0071707D" w:rsidRDefault="00B43F00" w:rsidP="00B43F00">
            <w:pPr>
              <w:jc w:val="center"/>
              <w:rPr>
                <w:lang w:eastAsia="nl-NL"/>
              </w:rPr>
            </w:pPr>
            <w:r>
              <w:rPr>
                <w:lang w:eastAsia="nl-NL"/>
              </w:rPr>
              <w:t>x</w:t>
            </w:r>
          </w:p>
        </w:tc>
        <w:tc>
          <w:tcPr>
            <w:tcW w:w="1418" w:type="dxa"/>
          </w:tcPr>
          <w:p w:rsidR="0071707D" w:rsidRDefault="0071707D" w:rsidP="00B43F00">
            <w:pPr>
              <w:jc w:val="center"/>
              <w:rPr>
                <w:lang w:eastAsia="nl-NL"/>
              </w:rPr>
            </w:pPr>
          </w:p>
        </w:tc>
        <w:tc>
          <w:tcPr>
            <w:tcW w:w="1559" w:type="dxa"/>
          </w:tcPr>
          <w:p w:rsidR="0071707D" w:rsidRDefault="00B43F00" w:rsidP="00B43F00">
            <w:pPr>
              <w:jc w:val="center"/>
              <w:rPr>
                <w:lang w:eastAsia="nl-NL"/>
              </w:rPr>
            </w:pPr>
            <w:r>
              <w:rPr>
                <w:lang w:eastAsia="nl-NL"/>
              </w:rPr>
              <w:t>x</w:t>
            </w:r>
          </w:p>
        </w:tc>
        <w:tc>
          <w:tcPr>
            <w:tcW w:w="1551" w:type="dxa"/>
          </w:tcPr>
          <w:p w:rsidR="0071707D" w:rsidRDefault="00B43F00" w:rsidP="00B43F00">
            <w:pPr>
              <w:jc w:val="center"/>
              <w:rPr>
                <w:lang w:eastAsia="nl-NL"/>
              </w:rPr>
            </w:pPr>
            <w:r>
              <w:rPr>
                <w:lang w:eastAsia="nl-NL"/>
              </w:rPr>
              <w:t>x</w:t>
            </w:r>
          </w:p>
        </w:tc>
        <w:tc>
          <w:tcPr>
            <w:tcW w:w="994" w:type="dxa"/>
            <w:gridSpan w:val="2"/>
          </w:tcPr>
          <w:p w:rsidR="0071707D" w:rsidRDefault="00A42409" w:rsidP="00B43F00">
            <w:pPr>
              <w:keepNext/>
              <w:jc w:val="center"/>
              <w:rPr>
                <w:lang w:eastAsia="nl-NL"/>
              </w:rPr>
            </w:pPr>
            <w:r>
              <w:rPr>
                <w:lang w:eastAsia="nl-NL"/>
              </w:rPr>
              <w:t>--</w:t>
            </w:r>
          </w:p>
        </w:tc>
      </w:tr>
    </w:tbl>
    <w:p w:rsidR="0071707D" w:rsidRDefault="0071707D" w:rsidP="00B52E10">
      <w:pPr>
        <w:pStyle w:val="Bijschrift"/>
        <w:tabs>
          <w:tab w:val="left" w:pos="3045"/>
        </w:tabs>
      </w:pPr>
      <w:r>
        <w:t xml:space="preserve">Tabel </w:t>
      </w:r>
      <w:r>
        <w:fldChar w:fldCharType="begin"/>
      </w:r>
      <w:r>
        <w:instrText xml:space="preserve"> SEQ Tabel \* ARABIC </w:instrText>
      </w:r>
      <w:r>
        <w:fldChar w:fldCharType="separate"/>
      </w:r>
      <w:r w:rsidR="00B43F00">
        <w:rPr>
          <w:noProof/>
        </w:rPr>
        <w:t>1</w:t>
      </w:r>
      <w:r>
        <w:fldChar w:fldCharType="end"/>
      </w:r>
      <w:r>
        <w:t>: SIG mapping voor SmallSQL</w:t>
      </w:r>
      <w:r w:rsidR="00B52E10">
        <w:tab/>
      </w:r>
    </w:p>
    <w:p w:rsidR="00B52E10" w:rsidRDefault="00B52E10" w:rsidP="00B52E10">
      <w:pPr>
        <w:keepNext/>
      </w:pPr>
      <w:r w:rsidRPr="00B52E10">
        <w:lastRenderedPageBreak/>
        <w:drawing>
          <wp:inline distT="0" distB="0" distL="0" distR="0" wp14:anchorId="75B955CF" wp14:editId="5CC0D30B">
            <wp:extent cx="5600700" cy="3751621"/>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740" cy="3763705"/>
                    </a:xfrm>
                    <a:prstGeom prst="rect">
                      <a:avLst/>
                    </a:prstGeom>
                  </pic:spPr>
                </pic:pic>
              </a:graphicData>
            </a:graphic>
          </wp:inline>
        </w:drawing>
      </w:r>
    </w:p>
    <w:p w:rsidR="00B52E10" w:rsidRDefault="00B52E10" w:rsidP="00267CC3">
      <w:pPr>
        <w:pStyle w:val="Bijschrift"/>
        <w:tabs>
          <w:tab w:val="left" w:pos="5235"/>
        </w:tabs>
        <w:rPr>
          <w:noProof/>
        </w:rPr>
      </w:pPr>
      <w:r>
        <w:t xml:space="preserve">Figuur </w:t>
      </w:r>
      <w:r>
        <w:fldChar w:fldCharType="begin"/>
      </w:r>
      <w:r>
        <w:instrText xml:space="preserve"> SEQ Figuur \* ARABIC </w:instrText>
      </w:r>
      <w:r>
        <w:fldChar w:fldCharType="separate"/>
      </w:r>
      <w:r w:rsidR="00651528">
        <w:rPr>
          <w:noProof/>
        </w:rPr>
        <w:t>1</w:t>
      </w:r>
      <w:r>
        <w:fldChar w:fldCharType="end"/>
      </w:r>
      <w:r>
        <w:t xml:space="preserve">: grafiek met aantal methoden per blok </w:t>
      </w:r>
      <w:r>
        <w:rPr>
          <w:noProof/>
        </w:rPr>
        <w:t xml:space="preserve"> unitgrootte</w:t>
      </w:r>
      <w:r w:rsidR="000931B1">
        <w:rPr>
          <w:noProof/>
        </w:rPr>
        <w:t xml:space="preserve"> voor smallsql</w:t>
      </w:r>
      <w:r w:rsidR="00267CC3">
        <w:rPr>
          <w:noProof/>
        </w:rPr>
        <w:tab/>
      </w:r>
    </w:p>
    <w:p w:rsidR="00267CC3" w:rsidRDefault="00267CC3" w:rsidP="00267CC3">
      <w:pPr>
        <w:keepNext/>
      </w:pPr>
      <w:r w:rsidRPr="00267CC3">
        <w:drawing>
          <wp:inline distT="0" distB="0" distL="0" distR="0" wp14:anchorId="72C4896B" wp14:editId="193ACF7F">
            <wp:extent cx="5591175" cy="36094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619" cy="3616235"/>
                    </a:xfrm>
                    <a:prstGeom prst="rect">
                      <a:avLst/>
                    </a:prstGeom>
                  </pic:spPr>
                </pic:pic>
              </a:graphicData>
            </a:graphic>
          </wp:inline>
        </w:drawing>
      </w:r>
    </w:p>
    <w:p w:rsidR="00267CC3" w:rsidRDefault="00267CC3" w:rsidP="00267CC3">
      <w:pPr>
        <w:pStyle w:val="Bijschrift"/>
      </w:pPr>
      <w:r>
        <w:t xml:space="preserve">Figuur </w:t>
      </w:r>
      <w:r>
        <w:fldChar w:fldCharType="begin"/>
      </w:r>
      <w:r>
        <w:instrText xml:space="preserve"> SEQ Figuur \* ARABIC </w:instrText>
      </w:r>
      <w:r>
        <w:fldChar w:fldCharType="separate"/>
      </w:r>
      <w:r w:rsidR="00651528">
        <w:rPr>
          <w:noProof/>
        </w:rPr>
        <w:t>2</w:t>
      </w:r>
      <w:r>
        <w:fldChar w:fldCharType="end"/>
      </w:r>
      <w:r>
        <w:t>: Aantel methodes t.o.v. een blok McCabe waarden</w:t>
      </w:r>
      <w:r w:rsidR="000931B1">
        <w:t xml:space="preserve"> voor smallqsl</w:t>
      </w:r>
      <w:r>
        <w:br/>
      </w:r>
    </w:p>
    <w:p w:rsidR="00267CC3" w:rsidRDefault="00267CC3" w:rsidP="00267CC3">
      <w:pPr>
        <w:keepNext/>
      </w:pPr>
      <w:r w:rsidRPr="00267CC3">
        <w:lastRenderedPageBreak/>
        <w:drawing>
          <wp:inline distT="0" distB="0" distL="0" distR="0" wp14:anchorId="1C32DB44" wp14:editId="71B294FE">
            <wp:extent cx="5695950" cy="37403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562" cy="3745366"/>
                    </a:xfrm>
                    <a:prstGeom prst="rect">
                      <a:avLst/>
                    </a:prstGeom>
                  </pic:spPr>
                </pic:pic>
              </a:graphicData>
            </a:graphic>
          </wp:inline>
        </w:drawing>
      </w:r>
    </w:p>
    <w:p w:rsidR="00267CC3" w:rsidRPr="00267CC3" w:rsidRDefault="00267CC3" w:rsidP="00267CC3">
      <w:pPr>
        <w:pStyle w:val="Bijschrift"/>
      </w:pPr>
      <w:r>
        <w:t xml:space="preserve">Figuur </w:t>
      </w:r>
      <w:r>
        <w:fldChar w:fldCharType="begin"/>
      </w:r>
      <w:r>
        <w:instrText xml:space="preserve"> SEQ Figuur \* ARABIC </w:instrText>
      </w:r>
      <w:r>
        <w:fldChar w:fldCharType="separate"/>
      </w:r>
      <w:r w:rsidR="00651528">
        <w:rPr>
          <w:noProof/>
        </w:rPr>
        <w:t>3</w:t>
      </w:r>
      <w:r>
        <w:fldChar w:fldCharType="end"/>
      </w:r>
      <w:r>
        <w:t>: Aantal methoden per duplicatieblok</w:t>
      </w:r>
      <w:r w:rsidR="000931B1">
        <w:t xml:space="preserve"> voor smallsql</w:t>
      </w:r>
    </w:p>
    <w:p w:rsidR="00B43F00" w:rsidRPr="00B52E10" w:rsidRDefault="00B43F00" w:rsidP="00B43F00">
      <w:pPr>
        <w:pStyle w:val="Geenafstand"/>
        <w:rPr>
          <w:b/>
          <w:u w:val="single"/>
        </w:rPr>
      </w:pPr>
      <w:r w:rsidRPr="00B52E10">
        <w:rPr>
          <w:b/>
          <w:u w:val="single"/>
        </w:rPr>
        <w:t>Resultaten HyperSQL</w:t>
      </w:r>
    </w:p>
    <w:p w:rsidR="00B43F00" w:rsidRPr="00B43F00" w:rsidRDefault="00B43F00" w:rsidP="00B43F00">
      <w:pPr>
        <w:pStyle w:val="Geenafstand"/>
        <w:rPr>
          <w:u w:val="single"/>
        </w:rPr>
      </w:pP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B43F00" w:rsidTr="00734B14">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B43F00" w:rsidRDefault="00B43F00" w:rsidP="00734B14">
            <w:pPr>
              <w:rPr>
                <w:lang w:eastAsia="nl-NL"/>
              </w:rPr>
            </w:pPr>
          </w:p>
        </w:tc>
        <w:tc>
          <w:tcPr>
            <w:tcW w:w="992" w:type="dxa"/>
            <w:tcBorders>
              <w:left w:val="single" w:sz="4" w:space="0" w:color="auto"/>
            </w:tcBorders>
          </w:tcPr>
          <w:p w:rsidR="00B43F00" w:rsidRDefault="00B43F00" w:rsidP="00734B14">
            <w:pPr>
              <w:jc w:val="center"/>
              <w:rPr>
                <w:lang w:eastAsia="nl-NL"/>
              </w:rPr>
            </w:pPr>
            <w:r>
              <w:rPr>
                <w:lang w:eastAsia="nl-NL"/>
              </w:rPr>
              <w:t>Volume</w:t>
            </w:r>
          </w:p>
        </w:tc>
        <w:tc>
          <w:tcPr>
            <w:tcW w:w="1559" w:type="dxa"/>
          </w:tcPr>
          <w:p w:rsidR="00B43F00" w:rsidRDefault="00B43F00" w:rsidP="00734B14">
            <w:pPr>
              <w:jc w:val="center"/>
              <w:rPr>
                <w:lang w:eastAsia="nl-NL"/>
              </w:rPr>
            </w:pPr>
            <w:r>
              <w:rPr>
                <w:lang w:eastAsia="nl-NL"/>
              </w:rPr>
              <w:t>Complexity per unit</w:t>
            </w:r>
          </w:p>
        </w:tc>
        <w:tc>
          <w:tcPr>
            <w:tcW w:w="1418" w:type="dxa"/>
          </w:tcPr>
          <w:p w:rsidR="00B43F00" w:rsidRDefault="00B43F00" w:rsidP="00734B14">
            <w:pPr>
              <w:jc w:val="center"/>
              <w:rPr>
                <w:lang w:eastAsia="nl-NL"/>
              </w:rPr>
            </w:pPr>
            <w:r>
              <w:rPr>
                <w:lang w:eastAsia="nl-NL"/>
              </w:rPr>
              <w:t>Duplication</w:t>
            </w:r>
          </w:p>
        </w:tc>
        <w:tc>
          <w:tcPr>
            <w:tcW w:w="1559" w:type="dxa"/>
          </w:tcPr>
          <w:p w:rsidR="00B43F00" w:rsidRDefault="00B43F00" w:rsidP="00734B14">
            <w:pPr>
              <w:jc w:val="center"/>
              <w:rPr>
                <w:lang w:eastAsia="nl-NL"/>
              </w:rPr>
            </w:pPr>
            <w:r>
              <w:rPr>
                <w:lang w:eastAsia="nl-NL"/>
              </w:rPr>
              <w:t>Unit size</w:t>
            </w:r>
          </w:p>
        </w:tc>
        <w:tc>
          <w:tcPr>
            <w:tcW w:w="1551" w:type="dxa"/>
          </w:tcPr>
          <w:p w:rsidR="00B43F00" w:rsidRDefault="00B43F00" w:rsidP="00734B14">
            <w:pPr>
              <w:jc w:val="center"/>
              <w:rPr>
                <w:lang w:eastAsia="nl-NL"/>
              </w:rPr>
            </w:pPr>
            <w:r>
              <w:rPr>
                <w:lang w:eastAsia="nl-NL"/>
              </w:rPr>
              <w:t>Unit testing</w:t>
            </w:r>
          </w:p>
        </w:tc>
        <w:tc>
          <w:tcPr>
            <w:tcW w:w="502" w:type="dxa"/>
            <w:vMerge w:val="restart"/>
            <w:tcBorders>
              <w:top w:val="nil"/>
              <w:right w:val="nil"/>
            </w:tcBorders>
          </w:tcPr>
          <w:p w:rsidR="00B43F00" w:rsidRDefault="00B43F00" w:rsidP="00734B14">
            <w:pPr>
              <w:rPr>
                <w:lang w:eastAsia="nl-NL"/>
              </w:rPr>
            </w:pPr>
          </w:p>
        </w:tc>
      </w:tr>
      <w:tr w:rsidR="00B43F00" w:rsidTr="00734B14">
        <w:trPr>
          <w:gridAfter w:val="1"/>
          <w:wAfter w:w="492" w:type="dxa"/>
        </w:trPr>
        <w:tc>
          <w:tcPr>
            <w:tcW w:w="1555" w:type="dxa"/>
            <w:vMerge/>
            <w:tcBorders>
              <w:left w:val="nil"/>
              <w:bottom w:val="single" w:sz="4" w:space="0" w:color="auto"/>
              <w:right w:val="single" w:sz="4" w:space="0" w:color="auto"/>
            </w:tcBorders>
          </w:tcPr>
          <w:p w:rsidR="00B43F00" w:rsidRDefault="00B43F00" w:rsidP="00734B14">
            <w:pPr>
              <w:rPr>
                <w:lang w:eastAsia="nl-NL"/>
              </w:rPr>
            </w:pPr>
          </w:p>
        </w:tc>
        <w:tc>
          <w:tcPr>
            <w:tcW w:w="992" w:type="dxa"/>
            <w:tcBorders>
              <w:left w:val="single" w:sz="4" w:space="0" w:color="auto"/>
            </w:tcBorders>
          </w:tcPr>
          <w:p w:rsidR="00B43F00" w:rsidRDefault="00424AB3" w:rsidP="00734B14">
            <w:pPr>
              <w:jc w:val="center"/>
              <w:rPr>
                <w:lang w:eastAsia="nl-NL"/>
              </w:rPr>
            </w:pPr>
            <w:r>
              <w:rPr>
                <w:lang w:eastAsia="nl-NL"/>
              </w:rPr>
              <w:t>+</w:t>
            </w:r>
          </w:p>
        </w:tc>
        <w:tc>
          <w:tcPr>
            <w:tcW w:w="1559" w:type="dxa"/>
          </w:tcPr>
          <w:p w:rsidR="00B43F00" w:rsidRDefault="00424AB3" w:rsidP="00734B14">
            <w:pPr>
              <w:jc w:val="center"/>
              <w:rPr>
                <w:lang w:eastAsia="nl-NL"/>
              </w:rPr>
            </w:pPr>
            <w:r>
              <w:rPr>
                <w:lang w:eastAsia="nl-NL"/>
              </w:rPr>
              <w:t>--</w:t>
            </w:r>
          </w:p>
        </w:tc>
        <w:tc>
          <w:tcPr>
            <w:tcW w:w="1418" w:type="dxa"/>
          </w:tcPr>
          <w:p w:rsidR="00B43F00" w:rsidRDefault="00424AB3" w:rsidP="00734B14">
            <w:pPr>
              <w:jc w:val="center"/>
              <w:rPr>
                <w:lang w:eastAsia="nl-NL"/>
              </w:rPr>
            </w:pPr>
            <w:r>
              <w:rPr>
                <w:lang w:eastAsia="nl-NL"/>
              </w:rPr>
              <w:t>-</w:t>
            </w:r>
          </w:p>
        </w:tc>
        <w:tc>
          <w:tcPr>
            <w:tcW w:w="1559" w:type="dxa"/>
          </w:tcPr>
          <w:p w:rsidR="00B43F00" w:rsidRDefault="00424AB3" w:rsidP="00734B14">
            <w:pPr>
              <w:jc w:val="center"/>
              <w:rPr>
                <w:lang w:eastAsia="nl-NL"/>
              </w:rPr>
            </w:pPr>
            <w:r>
              <w:rPr>
                <w:lang w:eastAsia="nl-NL"/>
              </w:rPr>
              <w:t>--</w:t>
            </w:r>
          </w:p>
        </w:tc>
        <w:tc>
          <w:tcPr>
            <w:tcW w:w="1551" w:type="dxa"/>
          </w:tcPr>
          <w:p w:rsidR="00B43F00" w:rsidRDefault="00424AB3" w:rsidP="00734B14">
            <w:pPr>
              <w:jc w:val="center"/>
              <w:rPr>
                <w:lang w:eastAsia="nl-NL"/>
              </w:rPr>
            </w:pPr>
            <w:r>
              <w:rPr>
                <w:lang w:eastAsia="nl-NL"/>
              </w:rPr>
              <w:t>--</w:t>
            </w:r>
          </w:p>
        </w:tc>
        <w:tc>
          <w:tcPr>
            <w:tcW w:w="502" w:type="dxa"/>
            <w:vMerge/>
            <w:tcBorders>
              <w:right w:val="nil"/>
            </w:tcBorders>
          </w:tcPr>
          <w:p w:rsidR="00B43F00" w:rsidRDefault="00B43F00" w:rsidP="00734B14">
            <w:pPr>
              <w:rPr>
                <w:lang w:eastAsia="nl-NL"/>
              </w:rPr>
            </w:pPr>
          </w:p>
        </w:tc>
      </w:tr>
      <w:tr w:rsidR="00B43F00" w:rsidTr="00734B14">
        <w:tc>
          <w:tcPr>
            <w:tcW w:w="1555" w:type="dxa"/>
            <w:tcBorders>
              <w:top w:val="single" w:sz="4" w:space="0" w:color="auto"/>
            </w:tcBorders>
          </w:tcPr>
          <w:p w:rsidR="00B43F00" w:rsidRDefault="00B43F00" w:rsidP="00734B14">
            <w:pPr>
              <w:rPr>
                <w:lang w:eastAsia="nl-NL"/>
              </w:rPr>
            </w:pPr>
            <w:r>
              <w:rPr>
                <w:lang w:eastAsia="nl-NL"/>
              </w:rPr>
              <w:t>Analysability</w:t>
            </w:r>
          </w:p>
        </w:tc>
        <w:tc>
          <w:tcPr>
            <w:tcW w:w="992" w:type="dxa"/>
          </w:tcPr>
          <w:p w:rsidR="00B43F00" w:rsidRDefault="00B43F00" w:rsidP="00734B14">
            <w:pPr>
              <w:jc w:val="center"/>
              <w:rPr>
                <w:lang w:eastAsia="nl-NL"/>
              </w:rPr>
            </w:pPr>
            <w:r>
              <w:rPr>
                <w:lang w:eastAsia="nl-NL"/>
              </w:rPr>
              <w:t>X</w:t>
            </w:r>
          </w:p>
        </w:tc>
        <w:tc>
          <w:tcPr>
            <w:tcW w:w="1559" w:type="dxa"/>
          </w:tcPr>
          <w:p w:rsidR="00B43F00" w:rsidRDefault="00B43F00" w:rsidP="00734B14">
            <w:pPr>
              <w:jc w:val="center"/>
              <w:rPr>
                <w:lang w:eastAsia="nl-NL"/>
              </w:rPr>
            </w:pPr>
          </w:p>
        </w:tc>
        <w:tc>
          <w:tcPr>
            <w:tcW w:w="1418" w:type="dxa"/>
          </w:tcPr>
          <w:p w:rsidR="00B43F00" w:rsidRDefault="00B43F00" w:rsidP="00734B14">
            <w:pPr>
              <w:jc w:val="center"/>
              <w:rPr>
                <w:lang w:eastAsia="nl-NL"/>
              </w:rPr>
            </w:pPr>
            <w:r>
              <w:rPr>
                <w:lang w:eastAsia="nl-NL"/>
              </w:rPr>
              <w:t>x</w:t>
            </w:r>
          </w:p>
        </w:tc>
        <w:tc>
          <w:tcPr>
            <w:tcW w:w="1559" w:type="dxa"/>
          </w:tcPr>
          <w:p w:rsidR="00B43F00" w:rsidRDefault="00B43F00" w:rsidP="00734B14">
            <w:pPr>
              <w:jc w:val="center"/>
              <w:rPr>
                <w:lang w:eastAsia="nl-NL"/>
              </w:rPr>
            </w:pPr>
            <w:r>
              <w:rPr>
                <w:lang w:eastAsia="nl-NL"/>
              </w:rPr>
              <w:t>x</w:t>
            </w:r>
          </w:p>
        </w:tc>
        <w:tc>
          <w:tcPr>
            <w:tcW w:w="1551" w:type="dxa"/>
          </w:tcPr>
          <w:p w:rsidR="00B43F00" w:rsidRDefault="00B43F00" w:rsidP="00734B14">
            <w:pPr>
              <w:jc w:val="center"/>
              <w:rPr>
                <w:lang w:eastAsia="nl-NL"/>
              </w:rPr>
            </w:pPr>
            <w:r>
              <w:rPr>
                <w:lang w:eastAsia="nl-NL"/>
              </w:rPr>
              <w:t>x</w:t>
            </w:r>
          </w:p>
        </w:tc>
        <w:tc>
          <w:tcPr>
            <w:tcW w:w="994" w:type="dxa"/>
            <w:gridSpan w:val="2"/>
          </w:tcPr>
          <w:p w:rsidR="00B43F00" w:rsidRDefault="00424AB3" w:rsidP="00734B14">
            <w:pPr>
              <w:jc w:val="center"/>
              <w:rPr>
                <w:lang w:eastAsia="nl-NL"/>
              </w:rPr>
            </w:pPr>
            <w:r>
              <w:rPr>
                <w:lang w:eastAsia="nl-NL"/>
              </w:rPr>
              <w:t>-</w:t>
            </w:r>
          </w:p>
        </w:tc>
      </w:tr>
      <w:tr w:rsidR="00B43F00" w:rsidTr="00734B14">
        <w:tc>
          <w:tcPr>
            <w:tcW w:w="1555" w:type="dxa"/>
          </w:tcPr>
          <w:p w:rsidR="00B43F00" w:rsidRDefault="00B43F00" w:rsidP="00734B14">
            <w:pPr>
              <w:rPr>
                <w:lang w:eastAsia="nl-NL"/>
              </w:rPr>
            </w:pPr>
            <w:r>
              <w:rPr>
                <w:lang w:eastAsia="nl-NL"/>
              </w:rPr>
              <w:t>Changeablity</w:t>
            </w:r>
          </w:p>
        </w:tc>
        <w:tc>
          <w:tcPr>
            <w:tcW w:w="992" w:type="dxa"/>
          </w:tcPr>
          <w:p w:rsidR="00B43F00" w:rsidRDefault="00B43F00" w:rsidP="00734B14">
            <w:pPr>
              <w:jc w:val="center"/>
              <w:rPr>
                <w:lang w:eastAsia="nl-NL"/>
              </w:rPr>
            </w:pPr>
          </w:p>
        </w:tc>
        <w:tc>
          <w:tcPr>
            <w:tcW w:w="1559" w:type="dxa"/>
          </w:tcPr>
          <w:p w:rsidR="00B43F00" w:rsidRDefault="00B43F00" w:rsidP="00734B14">
            <w:pPr>
              <w:jc w:val="center"/>
              <w:rPr>
                <w:lang w:eastAsia="nl-NL"/>
              </w:rPr>
            </w:pPr>
            <w:r>
              <w:rPr>
                <w:lang w:eastAsia="nl-NL"/>
              </w:rPr>
              <w:t>x</w:t>
            </w:r>
          </w:p>
        </w:tc>
        <w:tc>
          <w:tcPr>
            <w:tcW w:w="1418" w:type="dxa"/>
          </w:tcPr>
          <w:p w:rsidR="00B43F00" w:rsidRDefault="00B43F00" w:rsidP="00734B14">
            <w:pPr>
              <w:jc w:val="center"/>
              <w:rPr>
                <w:lang w:eastAsia="nl-NL"/>
              </w:rPr>
            </w:pPr>
            <w:r>
              <w:rPr>
                <w:lang w:eastAsia="nl-NL"/>
              </w:rPr>
              <w:t>x</w:t>
            </w:r>
          </w:p>
        </w:tc>
        <w:tc>
          <w:tcPr>
            <w:tcW w:w="1559" w:type="dxa"/>
          </w:tcPr>
          <w:p w:rsidR="00B43F00" w:rsidRDefault="00B43F00" w:rsidP="00734B14">
            <w:pPr>
              <w:jc w:val="center"/>
              <w:rPr>
                <w:lang w:eastAsia="nl-NL"/>
              </w:rPr>
            </w:pPr>
          </w:p>
        </w:tc>
        <w:tc>
          <w:tcPr>
            <w:tcW w:w="1551" w:type="dxa"/>
          </w:tcPr>
          <w:p w:rsidR="00B43F00" w:rsidRDefault="00B43F00" w:rsidP="00734B14">
            <w:pPr>
              <w:jc w:val="center"/>
              <w:rPr>
                <w:lang w:eastAsia="nl-NL"/>
              </w:rPr>
            </w:pPr>
          </w:p>
        </w:tc>
        <w:tc>
          <w:tcPr>
            <w:tcW w:w="994" w:type="dxa"/>
            <w:gridSpan w:val="2"/>
          </w:tcPr>
          <w:p w:rsidR="00B43F00" w:rsidRDefault="00424AB3" w:rsidP="00734B14">
            <w:pPr>
              <w:jc w:val="center"/>
              <w:rPr>
                <w:lang w:eastAsia="nl-NL"/>
              </w:rPr>
            </w:pPr>
            <w:r>
              <w:rPr>
                <w:lang w:eastAsia="nl-NL"/>
              </w:rPr>
              <w:t>-/--</w:t>
            </w:r>
          </w:p>
        </w:tc>
      </w:tr>
      <w:tr w:rsidR="00B43F00" w:rsidTr="00734B14">
        <w:tc>
          <w:tcPr>
            <w:tcW w:w="1555" w:type="dxa"/>
          </w:tcPr>
          <w:p w:rsidR="00B43F00" w:rsidRDefault="00B43F00" w:rsidP="00734B14">
            <w:pPr>
              <w:rPr>
                <w:lang w:eastAsia="nl-NL"/>
              </w:rPr>
            </w:pPr>
            <w:r>
              <w:rPr>
                <w:lang w:eastAsia="nl-NL"/>
              </w:rPr>
              <w:t>Stability</w:t>
            </w:r>
          </w:p>
        </w:tc>
        <w:tc>
          <w:tcPr>
            <w:tcW w:w="992" w:type="dxa"/>
          </w:tcPr>
          <w:p w:rsidR="00B43F00" w:rsidRDefault="00B43F00" w:rsidP="00734B14">
            <w:pPr>
              <w:jc w:val="center"/>
              <w:rPr>
                <w:lang w:eastAsia="nl-NL"/>
              </w:rPr>
            </w:pPr>
          </w:p>
        </w:tc>
        <w:tc>
          <w:tcPr>
            <w:tcW w:w="1559" w:type="dxa"/>
          </w:tcPr>
          <w:p w:rsidR="00B43F00" w:rsidRDefault="00B43F00" w:rsidP="00734B14">
            <w:pPr>
              <w:jc w:val="center"/>
              <w:rPr>
                <w:lang w:eastAsia="nl-NL"/>
              </w:rPr>
            </w:pPr>
          </w:p>
        </w:tc>
        <w:tc>
          <w:tcPr>
            <w:tcW w:w="1418" w:type="dxa"/>
          </w:tcPr>
          <w:p w:rsidR="00B43F00" w:rsidRDefault="00B43F00" w:rsidP="00734B14">
            <w:pPr>
              <w:jc w:val="center"/>
              <w:rPr>
                <w:lang w:eastAsia="nl-NL"/>
              </w:rPr>
            </w:pPr>
          </w:p>
        </w:tc>
        <w:tc>
          <w:tcPr>
            <w:tcW w:w="1559" w:type="dxa"/>
          </w:tcPr>
          <w:p w:rsidR="00B43F00" w:rsidRDefault="00B43F00" w:rsidP="00734B14">
            <w:pPr>
              <w:jc w:val="center"/>
              <w:rPr>
                <w:lang w:eastAsia="nl-NL"/>
              </w:rPr>
            </w:pPr>
          </w:p>
        </w:tc>
        <w:tc>
          <w:tcPr>
            <w:tcW w:w="1551" w:type="dxa"/>
          </w:tcPr>
          <w:p w:rsidR="00B43F00" w:rsidRDefault="00B43F00" w:rsidP="00734B14">
            <w:pPr>
              <w:jc w:val="center"/>
              <w:rPr>
                <w:lang w:eastAsia="nl-NL"/>
              </w:rPr>
            </w:pPr>
            <w:r>
              <w:rPr>
                <w:lang w:eastAsia="nl-NL"/>
              </w:rPr>
              <w:t>x</w:t>
            </w:r>
          </w:p>
        </w:tc>
        <w:tc>
          <w:tcPr>
            <w:tcW w:w="994" w:type="dxa"/>
            <w:gridSpan w:val="2"/>
          </w:tcPr>
          <w:p w:rsidR="00B43F00" w:rsidRDefault="00424AB3" w:rsidP="00734B14">
            <w:pPr>
              <w:jc w:val="center"/>
              <w:rPr>
                <w:lang w:eastAsia="nl-NL"/>
              </w:rPr>
            </w:pPr>
            <w:r>
              <w:rPr>
                <w:lang w:eastAsia="nl-NL"/>
              </w:rPr>
              <w:t>--</w:t>
            </w:r>
          </w:p>
        </w:tc>
      </w:tr>
      <w:tr w:rsidR="00B43F00" w:rsidTr="00734B14">
        <w:tc>
          <w:tcPr>
            <w:tcW w:w="1555" w:type="dxa"/>
          </w:tcPr>
          <w:p w:rsidR="00B43F00" w:rsidRDefault="00B43F00" w:rsidP="00734B14">
            <w:pPr>
              <w:rPr>
                <w:lang w:eastAsia="nl-NL"/>
              </w:rPr>
            </w:pPr>
            <w:r>
              <w:rPr>
                <w:lang w:eastAsia="nl-NL"/>
              </w:rPr>
              <w:t>Testability</w:t>
            </w:r>
          </w:p>
        </w:tc>
        <w:tc>
          <w:tcPr>
            <w:tcW w:w="992" w:type="dxa"/>
          </w:tcPr>
          <w:p w:rsidR="00B43F00" w:rsidRDefault="00B43F00" w:rsidP="00734B14">
            <w:pPr>
              <w:jc w:val="center"/>
              <w:rPr>
                <w:lang w:eastAsia="nl-NL"/>
              </w:rPr>
            </w:pPr>
          </w:p>
        </w:tc>
        <w:tc>
          <w:tcPr>
            <w:tcW w:w="1559" w:type="dxa"/>
          </w:tcPr>
          <w:p w:rsidR="00B43F00" w:rsidRDefault="00B43F00" w:rsidP="00734B14">
            <w:pPr>
              <w:jc w:val="center"/>
              <w:rPr>
                <w:lang w:eastAsia="nl-NL"/>
              </w:rPr>
            </w:pPr>
            <w:r>
              <w:rPr>
                <w:lang w:eastAsia="nl-NL"/>
              </w:rPr>
              <w:t>x</w:t>
            </w:r>
          </w:p>
        </w:tc>
        <w:tc>
          <w:tcPr>
            <w:tcW w:w="1418" w:type="dxa"/>
          </w:tcPr>
          <w:p w:rsidR="00B43F00" w:rsidRDefault="00B43F00" w:rsidP="00734B14">
            <w:pPr>
              <w:jc w:val="center"/>
              <w:rPr>
                <w:lang w:eastAsia="nl-NL"/>
              </w:rPr>
            </w:pPr>
          </w:p>
        </w:tc>
        <w:tc>
          <w:tcPr>
            <w:tcW w:w="1559" w:type="dxa"/>
          </w:tcPr>
          <w:p w:rsidR="00B43F00" w:rsidRDefault="00B43F00" w:rsidP="00734B14">
            <w:pPr>
              <w:jc w:val="center"/>
              <w:rPr>
                <w:lang w:eastAsia="nl-NL"/>
              </w:rPr>
            </w:pPr>
            <w:r>
              <w:rPr>
                <w:lang w:eastAsia="nl-NL"/>
              </w:rPr>
              <w:t>x</w:t>
            </w:r>
          </w:p>
        </w:tc>
        <w:tc>
          <w:tcPr>
            <w:tcW w:w="1551" w:type="dxa"/>
          </w:tcPr>
          <w:p w:rsidR="00B43F00" w:rsidRDefault="00B43F00" w:rsidP="00734B14">
            <w:pPr>
              <w:jc w:val="center"/>
              <w:rPr>
                <w:lang w:eastAsia="nl-NL"/>
              </w:rPr>
            </w:pPr>
            <w:r>
              <w:rPr>
                <w:lang w:eastAsia="nl-NL"/>
              </w:rPr>
              <w:t>x</w:t>
            </w:r>
          </w:p>
        </w:tc>
        <w:tc>
          <w:tcPr>
            <w:tcW w:w="994" w:type="dxa"/>
            <w:gridSpan w:val="2"/>
          </w:tcPr>
          <w:p w:rsidR="00B43F00" w:rsidRDefault="00424AB3" w:rsidP="00B43F00">
            <w:pPr>
              <w:keepNext/>
              <w:jc w:val="center"/>
              <w:rPr>
                <w:lang w:eastAsia="nl-NL"/>
              </w:rPr>
            </w:pPr>
            <w:r>
              <w:rPr>
                <w:lang w:eastAsia="nl-NL"/>
              </w:rPr>
              <w:t>--</w:t>
            </w:r>
          </w:p>
        </w:tc>
      </w:tr>
    </w:tbl>
    <w:p w:rsidR="00B43F00" w:rsidRDefault="00B43F00" w:rsidP="00B43F00">
      <w:pPr>
        <w:pStyle w:val="Bijschrift"/>
      </w:pPr>
      <w:r>
        <w:t xml:space="preserve">Tabel </w:t>
      </w:r>
      <w:r>
        <w:fldChar w:fldCharType="begin"/>
      </w:r>
      <w:r>
        <w:instrText xml:space="preserve"> SEQ Tabel \* ARABIC </w:instrText>
      </w:r>
      <w:r>
        <w:fldChar w:fldCharType="separate"/>
      </w:r>
      <w:r>
        <w:rPr>
          <w:noProof/>
        </w:rPr>
        <w:t>2</w:t>
      </w:r>
      <w:r>
        <w:fldChar w:fldCharType="end"/>
      </w:r>
      <w:r>
        <w:t>: SIG mapping voor HyperSQL</w:t>
      </w:r>
    </w:p>
    <w:p w:rsidR="000931B1" w:rsidRDefault="000931B1" w:rsidP="000931B1">
      <w:pPr>
        <w:keepNext/>
      </w:pPr>
      <w:r w:rsidRPr="000931B1">
        <w:lastRenderedPageBreak/>
        <w:drawing>
          <wp:inline distT="0" distB="0" distL="0" distR="0" wp14:anchorId="4E044B0D" wp14:editId="715713D7">
            <wp:extent cx="5715000" cy="3136194"/>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298" cy="3141845"/>
                    </a:xfrm>
                    <a:prstGeom prst="rect">
                      <a:avLst/>
                    </a:prstGeom>
                  </pic:spPr>
                </pic:pic>
              </a:graphicData>
            </a:graphic>
          </wp:inline>
        </w:drawing>
      </w:r>
    </w:p>
    <w:p w:rsidR="000931B1" w:rsidRDefault="000931B1" w:rsidP="000931B1">
      <w:pPr>
        <w:pStyle w:val="Bijschrift"/>
        <w:rPr>
          <w:noProof/>
        </w:rPr>
      </w:pPr>
      <w:r>
        <w:t xml:space="preserve">Figuur </w:t>
      </w:r>
      <w:r>
        <w:fldChar w:fldCharType="begin"/>
      </w:r>
      <w:r>
        <w:instrText xml:space="preserve"> SEQ Figuur \* ARABIC </w:instrText>
      </w:r>
      <w:r>
        <w:fldChar w:fldCharType="separate"/>
      </w:r>
      <w:r w:rsidR="00651528">
        <w:rPr>
          <w:noProof/>
        </w:rPr>
        <w:t>4</w:t>
      </w:r>
      <w:r>
        <w:fldChar w:fldCharType="end"/>
      </w:r>
      <w:r>
        <w:t xml:space="preserve">: grafiek met aantal methoden per blok </w:t>
      </w:r>
      <w:r>
        <w:rPr>
          <w:noProof/>
        </w:rPr>
        <w:t xml:space="preserve"> unitgrootte voor hsqgldb</w:t>
      </w:r>
    </w:p>
    <w:p w:rsidR="000931B1" w:rsidRDefault="000931B1" w:rsidP="000931B1">
      <w:pPr>
        <w:pStyle w:val="Bijschrift"/>
        <w:keepNext/>
      </w:pPr>
      <w:r w:rsidRPr="000931B1">
        <w:rPr>
          <w:noProof/>
        </w:rPr>
        <w:drawing>
          <wp:inline distT="0" distB="0" distL="0" distR="0" wp14:anchorId="5F0CB345" wp14:editId="74965E9D">
            <wp:extent cx="5757544" cy="27527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36" cy="2755542"/>
                    </a:xfrm>
                    <a:prstGeom prst="rect">
                      <a:avLst/>
                    </a:prstGeom>
                  </pic:spPr>
                </pic:pic>
              </a:graphicData>
            </a:graphic>
          </wp:inline>
        </w:drawing>
      </w:r>
    </w:p>
    <w:p w:rsidR="000931B1" w:rsidRDefault="000931B1" w:rsidP="000931B1">
      <w:pPr>
        <w:pStyle w:val="Bijschrift"/>
      </w:pPr>
      <w:r>
        <w:t xml:space="preserve">Figuur </w:t>
      </w:r>
      <w:r>
        <w:fldChar w:fldCharType="begin"/>
      </w:r>
      <w:r>
        <w:instrText xml:space="preserve"> SEQ Figuur \* ARABIC </w:instrText>
      </w:r>
      <w:r>
        <w:fldChar w:fldCharType="separate"/>
      </w:r>
      <w:r w:rsidR="00651528">
        <w:rPr>
          <w:noProof/>
        </w:rPr>
        <w:t>5</w:t>
      </w:r>
      <w:r>
        <w:fldChar w:fldCharType="end"/>
      </w:r>
      <w:r>
        <w:t>:</w:t>
      </w:r>
      <w:r w:rsidRPr="00633B58">
        <w:t xml:space="preserve"> Aantel methodes t.o.v. een blok McCabe waarden voor </w:t>
      </w:r>
      <w:r>
        <w:t>hsqldb</w:t>
      </w:r>
    </w:p>
    <w:p w:rsidR="00651528" w:rsidRDefault="000931B1" w:rsidP="00651528">
      <w:pPr>
        <w:pStyle w:val="Bijschrift"/>
        <w:keepNext/>
      </w:pPr>
      <w:r w:rsidRPr="000931B1">
        <w:rPr>
          <w:noProof/>
        </w:rPr>
        <w:lastRenderedPageBreak/>
        <w:t xml:space="preserve"> </w:t>
      </w:r>
      <w:r w:rsidR="00651528" w:rsidRPr="00651528">
        <w:rPr>
          <w:noProof/>
        </w:rPr>
        <w:drawing>
          <wp:inline distT="0" distB="0" distL="0" distR="0" wp14:anchorId="49C3ADD2" wp14:editId="0396E899">
            <wp:extent cx="5895975" cy="359827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0114" cy="3600796"/>
                    </a:xfrm>
                    <a:prstGeom prst="rect">
                      <a:avLst/>
                    </a:prstGeom>
                  </pic:spPr>
                </pic:pic>
              </a:graphicData>
            </a:graphic>
          </wp:inline>
        </w:drawing>
      </w:r>
    </w:p>
    <w:p w:rsidR="000931B1" w:rsidRPr="000931B1" w:rsidRDefault="00651528" w:rsidP="00651528">
      <w:pPr>
        <w:pStyle w:val="Bijschrift"/>
      </w:pPr>
      <w:r>
        <w:t xml:space="preserve">Figuur </w:t>
      </w:r>
      <w:r>
        <w:fldChar w:fldCharType="begin"/>
      </w:r>
      <w:r>
        <w:instrText xml:space="preserve"> SEQ Figuur \* ARABIC </w:instrText>
      </w:r>
      <w:r>
        <w:fldChar w:fldCharType="separate"/>
      </w:r>
      <w:r>
        <w:rPr>
          <w:noProof/>
        </w:rPr>
        <w:t>6</w:t>
      </w:r>
      <w:r>
        <w:fldChar w:fldCharType="end"/>
      </w:r>
      <w:r w:rsidRPr="00820A4E">
        <w:t>: Aantal methoden per duplicatieblok voor</w:t>
      </w:r>
      <w:r>
        <w:t xml:space="preserve"> hsqldb</w:t>
      </w:r>
    </w:p>
    <w:p w:rsidR="001A1E6E" w:rsidRDefault="001A1E6E" w:rsidP="00972AA6">
      <w:pPr>
        <w:pStyle w:val="Geenafstand"/>
        <w:rPr>
          <w:b/>
          <w:sz w:val="28"/>
          <w:szCs w:val="28"/>
          <w:lang w:eastAsia="nl-NL"/>
        </w:rPr>
      </w:pPr>
      <w:r w:rsidRPr="008A7EA7">
        <w:rPr>
          <w:rFonts w:ascii="Arial" w:hAnsi="Arial" w:cs="Arial"/>
          <w:b/>
          <w:sz w:val="28"/>
          <w:szCs w:val="28"/>
          <w:lang w:eastAsia="nl-NL"/>
        </w:rPr>
        <w:t>Validatie</w:t>
      </w:r>
    </w:p>
    <w:p w:rsidR="007B7E04" w:rsidRDefault="00734B14" w:rsidP="00972AA6">
      <w:pPr>
        <w:pStyle w:val="Geenafstand"/>
        <w:rPr>
          <w:lang w:eastAsia="nl-NL"/>
        </w:rPr>
      </w:pPr>
      <w:r>
        <w:rPr>
          <w:lang w:eastAsia="nl-NL"/>
        </w:rPr>
        <w:t>De berekening van de complexiteit</w:t>
      </w:r>
      <w:r w:rsidR="00107A64">
        <w:rPr>
          <w:lang w:eastAsia="nl-NL"/>
        </w:rPr>
        <w:t xml:space="preserve"> van een unit</w:t>
      </w:r>
      <w:r>
        <w:rPr>
          <w:lang w:eastAsia="nl-NL"/>
        </w:rPr>
        <w:t xml:space="preserve"> is getest door middel van een test Java applicatie. Deze applicatie bevat diverse methoden </w:t>
      </w:r>
      <w:r w:rsidR="00107A64">
        <w:rPr>
          <w:lang w:eastAsia="nl-NL"/>
        </w:rPr>
        <w:t>met verschillende flow control elementen ( b.v. if,  while, case). Per methode is aangegeven wat de verwachte complexiteit is. Door de metrieken van de test applicatie te berekenen kan bepaald worden of de Rascal metriek berekening correct</w:t>
      </w:r>
      <w:r w:rsidR="00650632">
        <w:rPr>
          <w:lang w:eastAsia="nl-NL"/>
        </w:rPr>
        <w:t xml:space="preserve"> is</w:t>
      </w:r>
      <w:r w:rsidR="00107A64">
        <w:rPr>
          <w:lang w:eastAsia="nl-NL"/>
        </w:rPr>
        <w:t xml:space="preserve">. </w:t>
      </w:r>
      <w:r w:rsidR="00650632">
        <w:rPr>
          <w:lang w:eastAsia="nl-NL"/>
        </w:rPr>
        <w:t>Op analoge wi</w:t>
      </w:r>
      <w:r w:rsidR="00B52E10">
        <w:rPr>
          <w:lang w:eastAsia="nl-NL"/>
        </w:rPr>
        <w:t xml:space="preserve">jze wordt de unit size getest. </w:t>
      </w:r>
    </w:p>
    <w:p w:rsidR="006E2DB0" w:rsidRDefault="006E2DB0" w:rsidP="00972AA6">
      <w:pPr>
        <w:pStyle w:val="Geenafstand"/>
        <w:rPr>
          <w:lang w:eastAsia="nl-NL"/>
        </w:rPr>
      </w:pPr>
    </w:p>
    <w:p w:rsidR="008A7EA7" w:rsidRPr="00147844" w:rsidRDefault="001A1E6E" w:rsidP="00972AA6">
      <w:pPr>
        <w:pStyle w:val="Geenafstand"/>
        <w:rPr>
          <w:rFonts w:ascii="Arial" w:hAnsi="Arial" w:cs="Arial"/>
          <w:b/>
          <w:sz w:val="28"/>
          <w:szCs w:val="28"/>
          <w:lang w:eastAsia="nl-NL"/>
        </w:rPr>
      </w:pPr>
      <w:r w:rsidRPr="00147844">
        <w:rPr>
          <w:rFonts w:ascii="Arial" w:hAnsi="Arial" w:cs="Arial"/>
          <w:b/>
          <w:sz w:val="28"/>
          <w:szCs w:val="28"/>
          <w:lang w:eastAsia="nl-NL"/>
        </w:rPr>
        <w:t>Interpretatie</w:t>
      </w:r>
    </w:p>
    <w:p w:rsidR="006346CE" w:rsidRPr="008A7EA7" w:rsidRDefault="008A7EA7" w:rsidP="008A7EA7">
      <w:pPr>
        <w:pStyle w:val="Geenafstand"/>
        <w:rPr>
          <w:u w:val="single"/>
        </w:rPr>
      </w:pPr>
      <w:r>
        <w:rPr>
          <w:u w:val="single"/>
        </w:rPr>
        <w:t xml:space="preserve">Applicatie </w:t>
      </w:r>
      <w:r w:rsidRPr="008A7EA7">
        <w:rPr>
          <w:u w:val="single"/>
        </w:rPr>
        <w:t>SmallSql</w:t>
      </w:r>
    </w:p>
    <w:p w:rsidR="004B1AF2" w:rsidRPr="008A7EA7" w:rsidRDefault="008A7EA7" w:rsidP="00972AA6">
      <w:pPr>
        <w:pStyle w:val="Geenafstand"/>
      </w:pPr>
      <w:r w:rsidRPr="008A7EA7">
        <w:t>De applica</w:t>
      </w:r>
      <w:r>
        <w:t xml:space="preserve">tie smallSql scoort slecht op alle vier de </w:t>
      </w:r>
      <w:r w:rsidR="00DC0485">
        <w:t>subcategorieën</w:t>
      </w:r>
      <w:r>
        <w:t xml:space="preserve">, waarbij de analysaibity het “beste” scoort. De complexiteit alsmede het aantal regels van te veel methoden is te hoog. Ook </w:t>
      </w:r>
      <w:r w:rsidR="0030351A">
        <w:t>zijn er te weinig unittesten.</w:t>
      </w:r>
      <w:r>
        <w:t xml:space="preserve"> Hierdoor is het lastig om wijzigingen door te</w:t>
      </w:r>
      <w:r w:rsidR="00DC0485">
        <w:t xml:space="preserve"> </w:t>
      </w:r>
      <w:r>
        <w:t>voeren.</w:t>
      </w:r>
      <w:r w:rsidR="00DC0485">
        <w:t xml:space="preserve"> </w:t>
      </w:r>
      <w:r w:rsidR="00617F2D">
        <w:t>Het aantal unit testen zal uitgebreid moet worden en de complexiteit van een aantal methoden zal moeten worden verminderd. Ook zal een refactoringslag gedaan kunnen worden, zodat de unit size van te grote methode verlaagd wordt.</w:t>
      </w:r>
      <w:bookmarkStart w:id="0" w:name="_GoBack"/>
      <w:bookmarkEnd w:id="0"/>
      <w:r w:rsidR="004B1AF2" w:rsidRPr="008A7EA7">
        <w:br/>
      </w:r>
    </w:p>
    <w:p w:rsidR="004B1AF2" w:rsidRDefault="004B1AF2">
      <w:pPr>
        <w:rPr>
          <w:b/>
          <w:sz w:val="28"/>
          <w:szCs w:val="28"/>
        </w:rPr>
      </w:pPr>
      <w:r>
        <w:rPr>
          <w:b/>
          <w:sz w:val="28"/>
          <w:szCs w:val="28"/>
        </w:rPr>
        <w:br w:type="page"/>
      </w:r>
    </w:p>
    <w:p w:rsidR="00972AA6" w:rsidRPr="002B222F" w:rsidRDefault="00972AA6" w:rsidP="00972AA6">
      <w:pPr>
        <w:pStyle w:val="Geenafstand"/>
        <w:rPr>
          <w:b/>
          <w:sz w:val="28"/>
          <w:szCs w:val="28"/>
        </w:rPr>
      </w:pPr>
      <w:r w:rsidRPr="00CE0CE0">
        <w:rPr>
          <w:rFonts w:ascii="Arial" w:hAnsi="Arial" w:cs="Arial"/>
          <w:b/>
          <w:sz w:val="28"/>
          <w:szCs w:val="28"/>
        </w:rPr>
        <w:lastRenderedPageBreak/>
        <w:t>Bijlagen</w:t>
      </w:r>
    </w:p>
    <w:p w:rsidR="004B1AF2" w:rsidRDefault="00267CC3" w:rsidP="00734B14">
      <w:pPr>
        <w:pStyle w:val="Geenafstand"/>
        <w:numPr>
          <w:ilvl w:val="0"/>
          <w:numId w:val="3"/>
        </w:numPr>
      </w:pPr>
      <w:r>
        <w:t>Een logbestand (Metrics_smallsqk.txt) met de output van de berekeningen van de metrieken voor de applicatie smallsql.</w:t>
      </w:r>
    </w:p>
    <w:p w:rsidR="00CE0CE0" w:rsidRDefault="00CE0CE0" w:rsidP="00CE0CE0">
      <w:pPr>
        <w:pStyle w:val="Geenafstand"/>
      </w:pPr>
    </w:p>
    <w:sectPr w:rsidR="00CE0CE0" w:rsidSect="00D31D2C">
      <w:footerReference w:type="default" r:id="rId14"/>
      <w:pgSz w:w="11906" w:h="16838"/>
      <w:pgMar w:top="90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BCE" w:rsidRDefault="00826BCE" w:rsidP="00D31D2C">
      <w:pPr>
        <w:spacing w:after="0" w:line="240" w:lineRule="auto"/>
      </w:pPr>
      <w:r>
        <w:separator/>
      </w:r>
    </w:p>
  </w:endnote>
  <w:endnote w:type="continuationSeparator" w:id="0">
    <w:p w:rsidR="00826BCE" w:rsidRDefault="00826BCE" w:rsidP="00D31D2C">
      <w:pPr>
        <w:spacing w:after="0" w:line="240" w:lineRule="auto"/>
      </w:pPr>
      <w:r>
        <w:continuationSeparator/>
      </w:r>
    </w:p>
  </w:endnote>
  <w:endnote w:id="1">
    <w:p w:rsidR="00DC0485" w:rsidRDefault="00DC0485">
      <w:pPr>
        <w:pStyle w:val="Eindnoottekst"/>
      </w:pPr>
      <w:r>
        <w:rPr>
          <w:rStyle w:val="Eindnootmarkering"/>
        </w:rPr>
        <w:endnoteRef/>
      </w:r>
      <w:r>
        <w:t xml:space="preserve"> </w:t>
      </w:r>
      <w:r w:rsidRPr="00972AA6">
        <w:t>https://www.sig.eu/files/en/080_Benchmark-based_Aggregation_of_Metrics_to_Ratings.pdf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039669"/>
      <w:docPartObj>
        <w:docPartGallery w:val="Page Numbers (Bottom of Page)"/>
        <w:docPartUnique/>
      </w:docPartObj>
    </w:sdtPr>
    <w:sdtContent>
      <w:p w:rsidR="00DC0485" w:rsidRDefault="00DC0485">
        <w:pPr>
          <w:pStyle w:val="Voettekst"/>
          <w:jc w:val="right"/>
        </w:pPr>
        <w:r>
          <w:fldChar w:fldCharType="begin"/>
        </w:r>
        <w:r>
          <w:instrText>PAGE   \* MERGEFORMAT</w:instrText>
        </w:r>
        <w:r>
          <w:fldChar w:fldCharType="separate"/>
        </w:r>
        <w:r w:rsidR="00617F2D">
          <w:rPr>
            <w:noProof/>
          </w:rPr>
          <w:t>4</w:t>
        </w:r>
        <w:r>
          <w:fldChar w:fldCharType="end"/>
        </w:r>
      </w:p>
    </w:sdtContent>
  </w:sdt>
  <w:p w:rsidR="00DC0485" w:rsidRDefault="00DC04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BCE" w:rsidRDefault="00826BCE" w:rsidP="00D31D2C">
      <w:pPr>
        <w:spacing w:after="0" w:line="240" w:lineRule="auto"/>
      </w:pPr>
      <w:r>
        <w:separator/>
      </w:r>
    </w:p>
  </w:footnote>
  <w:footnote w:type="continuationSeparator" w:id="0">
    <w:p w:rsidR="00826BCE" w:rsidRDefault="00826BCE" w:rsidP="00D31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86556"/>
    <w:multiLevelType w:val="hybridMultilevel"/>
    <w:tmpl w:val="3C888EB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931A6D"/>
    <w:multiLevelType w:val="hybridMultilevel"/>
    <w:tmpl w:val="070CA58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794943AC"/>
    <w:multiLevelType w:val="hybridMultilevel"/>
    <w:tmpl w:val="B7FA91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6E"/>
    <w:rsid w:val="000931B1"/>
    <w:rsid w:val="000C09D2"/>
    <w:rsid w:val="00107A64"/>
    <w:rsid w:val="00147844"/>
    <w:rsid w:val="001A1E6E"/>
    <w:rsid w:val="00267CC3"/>
    <w:rsid w:val="002B222F"/>
    <w:rsid w:val="0030351A"/>
    <w:rsid w:val="003D2338"/>
    <w:rsid w:val="00424AB3"/>
    <w:rsid w:val="004829A3"/>
    <w:rsid w:val="004B1AF2"/>
    <w:rsid w:val="00617F2D"/>
    <w:rsid w:val="006346CE"/>
    <w:rsid w:val="00650632"/>
    <w:rsid w:val="00651528"/>
    <w:rsid w:val="006E2DB0"/>
    <w:rsid w:val="0071707D"/>
    <w:rsid w:val="00734B14"/>
    <w:rsid w:val="007A173A"/>
    <w:rsid w:val="007B7E04"/>
    <w:rsid w:val="00826BCE"/>
    <w:rsid w:val="008A7EA7"/>
    <w:rsid w:val="00972AA6"/>
    <w:rsid w:val="00A42409"/>
    <w:rsid w:val="00B43F00"/>
    <w:rsid w:val="00B52E10"/>
    <w:rsid w:val="00CE0CE0"/>
    <w:rsid w:val="00D31D2C"/>
    <w:rsid w:val="00D739BB"/>
    <w:rsid w:val="00DC04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4431"/>
  <w15:chartTrackingRefBased/>
  <w15:docId w15:val="{4506D81A-E73D-4B01-BB60-9B81BD0E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1A1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1A1E6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1E6E"/>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1A1E6E"/>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1A1E6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1A1E6E"/>
    <w:pPr>
      <w:spacing w:after="0" w:line="240" w:lineRule="auto"/>
    </w:pPr>
  </w:style>
  <w:style w:type="paragraph" w:styleId="Koptekst">
    <w:name w:val="header"/>
    <w:basedOn w:val="Standaard"/>
    <w:link w:val="KoptekstChar"/>
    <w:uiPriority w:val="99"/>
    <w:unhideWhenUsed/>
    <w:rsid w:val="00D31D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31D2C"/>
  </w:style>
  <w:style w:type="paragraph" w:styleId="Voettekst">
    <w:name w:val="footer"/>
    <w:basedOn w:val="Standaard"/>
    <w:link w:val="VoettekstChar"/>
    <w:uiPriority w:val="99"/>
    <w:unhideWhenUsed/>
    <w:rsid w:val="00D31D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31D2C"/>
  </w:style>
  <w:style w:type="paragraph" w:styleId="Lijstalinea">
    <w:name w:val="List Paragraph"/>
    <w:basedOn w:val="Standaard"/>
    <w:uiPriority w:val="34"/>
    <w:qFormat/>
    <w:rsid w:val="000C09D2"/>
    <w:pPr>
      <w:ind w:left="720"/>
      <w:contextualSpacing/>
    </w:pPr>
  </w:style>
  <w:style w:type="paragraph" w:styleId="Eindnoottekst">
    <w:name w:val="endnote text"/>
    <w:basedOn w:val="Standaard"/>
    <w:link w:val="EindnoottekstChar"/>
    <w:uiPriority w:val="99"/>
    <w:semiHidden/>
    <w:unhideWhenUsed/>
    <w:rsid w:val="00972AA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972AA6"/>
    <w:rPr>
      <w:sz w:val="20"/>
      <w:szCs w:val="20"/>
    </w:rPr>
  </w:style>
  <w:style w:type="character" w:styleId="Eindnootmarkering">
    <w:name w:val="endnote reference"/>
    <w:basedOn w:val="Standaardalinea-lettertype"/>
    <w:uiPriority w:val="99"/>
    <w:semiHidden/>
    <w:unhideWhenUsed/>
    <w:rsid w:val="00972AA6"/>
    <w:rPr>
      <w:vertAlign w:val="superscript"/>
    </w:rPr>
  </w:style>
  <w:style w:type="table" w:styleId="Tabelraster">
    <w:name w:val="Table Grid"/>
    <w:basedOn w:val="Standaardtabel"/>
    <w:uiPriority w:val="39"/>
    <w:rsid w:val="0071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170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696AD-6421-4D18-9AF4-54BD11B11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537</Words>
  <Characters>2958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Huijben</dc:creator>
  <cp:keywords/>
  <dc:description/>
  <cp:lastModifiedBy>Marco Huijben</cp:lastModifiedBy>
  <cp:revision>12</cp:revision>
  <dcterms:created xsi:type="dcterms:W3CDTF">2017-12-16T19:27:00Z</dcterms:created>
  <dcterms:modified xsi:type="dcterms:W3CDTF">2017-12-17T00:46:00Z</dcterms:modified>
</cp:coreProperties>
</file>