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56"/>
        </w:rPr>
        <w:t>DEVIS</w:t>
      </w:r>
    </w:p>
    <w:p>
      <w:pPr>
        <w:jc w:val="center"/>
      </w:pPr>
      <w:r>
        <w:rPr>
          <w:color w:val="6B7280"/>
          <w:sz w:val="22"/>
        </w:rPr>
        <w:t>N° DEV-CAYA-2026-001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r>
              <w:rPr>
                <w:b/>
                <w:color w:val="1E40AF"/>
                <w:sz w:val="18"/>
              </w:rPr>
              <w:t>ÉMETTEUR</w:t>
              <w:br/>
            </w:r>
          </w:p>
          <w:p>
            <w:r>
              <w:rPr>
                <w:b/>
              </w:rPr>
              <w:t>OMGBA FOUDA Christ</w:t>
            </w:r>
          </w:p>
          <w:p>
            <w:r>
              <w:t>Freelance — Développement logiciel</w:t>
            </w:r>
          </w:p>
          <w:p>
            <w:r>
              <w:t>📧 chrisomgba04@gmail.com</w:t>
            </w:r>
          </w:p>
          <w:p>
            <w:r>
              <w:t>📞 +237 655 74 67 14</w:t>
            </w:r>
          </w:p>
          <w:p>
            <w:r>
              <w:t>Yaoundé, Cameroun</w:t>
            </w:r>
          </w:p>
        </w:tc>
        <w:tc>
          <w:tcPr>
            <w:tcW w:type="dxa" w:w="4986"/>
          </w:tcPr>
          <w:p>
            <w:r>
              <w:rPr>
                <w:b/>
                <w:color w:val="1E40AF"/>
                <w:sz w:val="18"/>
              </w:rPr>
              <w:t>CLIENT</w:t>
              <w:br/>
            </w:r>
          </w:p>
          <w:p>
            <w:r>
              <w:rPr>
                <w:b/>
              </w:rPr>
              <w:t>Club des Amis de Yaoundé (CAYA)</w:t>
            </w:r>
          </w:p>
          <w:p>
            <w:r>
              <w:t>Association de tontine</w:t>
            </w:r>
          </w:p>
          <w:p>
            <w:r>
              <w:t>Yaoundé, Cameroun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986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/>
              </w:rPr>
              <w:t>Date d'émission</w:t>
            </w:r>
          </w:p>
        </w:tc>
        <w:tc>
          <w:tcPr>
            <w:tcW w:type="dxa" w:w="498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>01 mai 2026</w:t>
            </w:r>
          </w:p>
        </w:tc>
      </w:tr>
      <w:tr>
        <w:tc>
          <w:tcPr>
            <w:tcW w:type="dxa" w:w="4986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/>
              </w:rPr>
              <w:t>Période concernée</w:t>
            </w:r>
          </w:p>
        </w:tc>
        <w:tc>
          <w:tcPr>
            <w:tcW w:type="dxa" w:w="498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>Décembre 2025 — Mai 2026 (≈ 5 mois)</w:t>
            </w:r>
          </w:p>
        </w:tc>
      </w:tr>
      <w:tr>
        <w:tc>
          <w:tcPr>
            <w:tcW w:type="dxa" w:w="4986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/>
              </w:rPr>
              <w:t>Validité du devis</w:t>
            </w:r>
          </w:p>
        </w:tc>
        <w:tc>
          <w:tcPr>
            <w:tcW w:type="dxa" w:w="498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>30 jours</w:t>
            </w:r>
          </w:p>
        </w:tc>
      </w:tr>
      <w:tr>
        <w:tc>
          <w:tcPr>
            <w:tcW w:type="dxa" w:w="4986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/>
              </w:rPr>
              <w:t>Devise</w:t>
            </w:r>
          </w:p>
        </w:tc>
        <w:tc>
          <w:tcPr>
            <w:tcW w:type="dxa" w:w="498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t>Franc CFA (XAF)</w:t>
            </w:r>
          </w:p>
        </w:tc>
      </w:tr>
    </w:tbl>
    <w:p/>
    <w:p>
      <w:pPr>
        <w:spacing w:before="240" w:after="120"/>
      </w:pPr>
      <w:r>
        <w:rPr>
          <w:b/>
          <w:color w:val="1E40AF"/>
          <w:sz w:val="24"/>
        </w:rPr>
        <w:t>Description du projet</w:t>
      </w:r>
    </w:p>
    <w:p>
      <w:r>
        <w:rPr>
          <w:b w:val="0"/>
          <w:i w:val="0"/>
          <w:color w:val="1F2937"/>
          <w:sz w:val="20"/>
        </w:rPr>
        <w:t>Conception et développement d'une plateforme web complète de gestion de tontine pour le CAYA — application greenfield couvrant 10 modules métiers (membres, exercices fiscaux, sessions mensuelles, épargne, prêts, caisse de secours, bénéficiaires, cassation, rapports), avec pipeline de déploiement automatisé.</w:t>
      </w:r>
    </w:p>
    <w:p>
      <w:pPr>
        <w:spacing w:before="360" w:after="120"/>
      </w:pPr>
      <w:r>
        <w:rPr>
          <w:b/>
          <w:color w:val="1E40AF"/>
          <w:sz w:val="24"/>
        </w:rPr>
        <w:t>Détail des prestations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4819"/>
        <w:gridCol w:w="1984"/>
        <w:gridCol w:w="1984"/>
      </w:tblGrid>
      <w:tr>
        <w:tc>
          <w:tcPr>
            <w:tcW w:type="dxa" w:w="2493"/>
            <w:shd w:val="clear" w:color="auto" w:fill="1E40A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val="clear" w:color="auto" w:fill="1E40A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/>
                <w:color w:val="FFFFFF"/>
                <w:sz w:val="20"/>
              </w:rPr>
              <w:t>Prestation</w:t>
            </w:r>
          </w:p>
        </w:tc>
        <w:tc>
          <w:tcPr>
            <w:tcW w:type="dxa" w:w="2493"/>
            <w:shd w:val="clear" w:color="auto" w:fill="1E40A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Tarif entreprise</w:t>
            </w:r>
          </w:p>
        </w:tc>
        <w:tc>
          <w:tcPr>
            <w:tcW w:type="dxa" w:w="2493"/>
            <w:shd w:val="clear" w:color="auto" w:fill="1E40A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Tarif consenti CAYA</w:t>
            </w:r>
          </w:p>
        </w:tc>
      </w:tr>
      <w:tr>
        <w:tc>
          <w:tcPr>
            <w:tcW w:type="dxa" w:w="45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481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sz w:val="18"/>
              </w:rPr>
              <w:t>Analyse &amp; conception (UML, modèle de données, architecture en couches)</w:t>
            </w:r>
          </w:p>
        </w:tc>
        <w:tc>
          <w:tcPr>
            <w:tcW w:type="dxa" w:w="19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right"/>
            </w:pPr>
            <w:r>
              <w:rPr>
                <w:color w:val="6B7280"/>
                <w:sz w:val="18"/>
              </w:rPr>
              <w:t>800 000 FCFA</w:t>
            </w:r>
          </w:p>
        </w:tc>
        <w:tc>
          <w:tcPr>
            <w:tcW w:type="dxa" w:w="19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right"/>
            </w:pPr>
            <w:r>
              <w:rPr>
                <w:b/>
                <w:color w:val="059669"/>
                <w:sz w:val="18"/>
              </w:rPr>
              <w:t>5 000 FCFA</w:t>
            </w:r>
          </w:p>
        </w:tc>
      </w:tr>
      <w:tr>
        <w:tc>
          <w:tcPr>
            <w:tcW w:type="dxa" w:w="45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481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sz w:val="18"/>
              </w:rPr>
              <w:t>Développement Backend NestJS — 10 modules métier + Prisma ORM</w:t>
            </w:r>
          </w:p>
        </w:tc>
        <w:tc>
          <w:tcPr>
            <w:tcW w:type="dxa" w:w="19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right"/>
            </w:pPr>
            <w:r>
              <w:rPr>
                <w:color w:val="6B7280"/>
                <w:sz w:val="18"/>
              </w:rPr>
              <w:t>2 500 000 FCFA</w:t>
            </w:r>
          </w:p>
        </w:tc>
        <w:tc>
          <w:tcPr>
            <w:tcW w:type="dxa" w:w="19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right"/>
            </w:pPr>
            <w:r>
              <w:rPr>
                <w:b/>
                <w:color w:val="059669"/>
                <w:sz w:val="18"/>
              </w:rPr>
              <w:t>18 000 FCFA</w:t>
            </w:r>
          </w:p>
        </w:tc>
      </w:tr>
      <w:tr>
        <w:tc>
          <w:tcPr>
            <w:tcW w:type="dxa" w:w="45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481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sz w:val="18"/>
              </w:rPr>
              <w:t>Développement Frontend Next.js — dashboards, formulaires, navigation</w:t>
            </w:r>
          </w:p>
        </w:tc>
        <w:tc>
          <w:tcPr>
            <w:tcW w:type="dxa" w:w="19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right"/>
            </w:pPr>
            <w:r>
              <w:rPr>
                <w:color w:val="6B7280"/>
                <w:sz w:val="18"/>
              </w:rPr>
              <w:t>2 000 000 FCFA</w:t>
            </w:r>
          </w:p>
        </w:tc>
        <w:tc>
          <w:tcPr>
            <w:tcW w:type="dxa" w:w="19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right"/>
            </w:pPr>
            <w:r>
              <w:rPr>
                <w:b/>
                <w:color w:val="059669"/>
                <w:sz w:val="18"/>
              </w:rPr>
              <w:t>15 000 FCFA</w:t>
            </w:r>
          </w:p>
        </w:tc>
      </w:tr>
      <w:tr>
        <w:tc>
          <w:tcPr>
            <w:tcW w:type="dxa" w:w="45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481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sz w:val="18"/>
              </w:rPr>
              <w:t>Module Rapports &amp; Exports CAYABASE (Excel multi-feuilles, PDF)</w:t>
            </w:r>
          </w:p>
        </w:tc>
        <w:tc>
          <w:tcPr>
            <w:tcW w:type="dxa" w:w="19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right"/>
            </w:pPr>
            <w:r>
              <w:rPr>
                <w:color w:val="6B7280"/>
                <w:sz w:val="18"/>
              </w:rPr>
              <w:t>600 000 FCFA</w:t>
            </w:r>
          </w:p>
        </w:tc>
        <w:tc>
          <w:tcPr>
            <w:tcW w:type="dxa" w:w="19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right"/>
            </w:pPr>
            <w:r>
              <w:rPr>
                <w:b/>
                <w:color w:val="059669"/>
                <w:sz w:val="18"/>
              </w:rPr>
              <w:t>5 000 FCFA</w:t>
            </w:r>
          </w:p>
        </w:tc>
      </w:tr>
      <w:tr>
        <w:tc>
          <w:tcPr>
            <w:tcW w:type="dxa" w:w="45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481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sz w:val="18"/>
              </w:rPr>
              <w:t>Module Import d'exercice depuis fichier Excel CAYABASE</w:t>
            </w:r>
          </w:p>
        </w:tc>
        <w:tc>
          <w:tcPr>
            <w:tcW w:type="dxa" w:w="19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right"/>
            </w:pPr>
            <w:r>
              <w:rPr>
                <w:color w:val="6B7280"/>
                <w:sz w:val="18"/>
              </w:rPr>
              <w:t>400 000 FCFA</w:t>
            </w:r>
          </w:p>
        </w:tc>
        <w:tc>
          <w:tcPr>
            <w:tcW w:type="dxa" w:w="19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right"/>
            </w:pPr>
            <w:r>
              <w:rPr>
                <w:b/>
                <w:color w:val="059669"/>
                <w:sz w:val="18"/>
              </w:rPr>
              <w:t>3 000 FCFA</w:t>
            </w:r>
          </w:p>
        </w:tc>
      </w:tr>
      <w:tr>
        <w:tc>
          <w:tcPr>
            <w:tcW w:type="dxa" w:w="45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481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sz w:val="18"/>
              </w:rPr>
              <w:t>Sécurité — Authentification JWT, RBAC, journalisation des actions</w:t>
            </w:r>
          </w:p>
        </w:tc>
        <w:tc>
          <w:tcPr>
            <w:tcW w:type="dxa" w:w="19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right"/>
            </w:pPr>
            <w:r>
              <w:rPr>
                <w:color w:val="6B7280"/>
                <w:sz w:val="18"/>
              </w:rPr>
              <w:t>500 000 FCFA</w:t>
            </w:r>
          </w:p>
        </w:tc>
        <w:tc>
          <w:tcPr>
            <w:tcW w:type="dxa" w:w="19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right"/>
            </w:pPr>
            <w:r>
              <w:rPr>
                <w:b/>
                <w:color w:val="059669"/>
                <w:sz w:val="18"/>
              </w:rPr>
              <w:t>4 000 FCFA</w:t>
            </w:r>
          </w:p>
        </w:tc>
      </w:tr>
      <w:tr>
        <w:tc>
          <w:tcPr>
            <w:tcW w:type="dxa" w:w="45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481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sz w:val="18"/>
              </w:rPr>
              <w:t>Pipeline CI/CD &amp; déploiement Hostinger automatisé</w:t>
            </w:r>
          </w:p>
        </w:tc>
        <w:tc>
          <w:tcPr>
            <w:tcW w:type="dxa" w:w="19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right"/>
            </w:pPr>
            <w:r>
              <w:rPr>
                <w:color w:val="6B7280"/>
                <w:sz w:val="18"/>
              </w:rPr>
              <w:t>400 000 FCFA</w:t>
            </w:r>
          </w:p>
        </w:tc>
        <w:tc>
          <w:tcPr>
            <w:tcW w:type="dxa" w:w="19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right"/>
            </w:pPr>
            <w:r>
              <w:rPr>
                <w:b/>
                <w:color w:val="059669"/>
                <w:sz w:val="18"/>
              </w:rPr>
              <w:t>3 000 FCFA</w:t>
            </w:r>
          </w:p>
        </w:tc>
      </w:tr>
      <w:tr>
        <w:tc>
          <w:tcPr>
            <w:tcW w:type="dxa" w:w="45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481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sz w:val="18"/>
              </w:rPr>
              <w:t>Tests, recette utilisateur &amp; corrections</w:t>
            </w:r>
          </w:p>
        </w:tc>
        <w:tc>
          <w:tcPr>
            <w:tcW w:type="dxa" w:w="19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right"/>
            </w:pPr>
            <w:r>
              <w:rPr>
                <w:color w:val="6B7280"/>
                <w:sz w:val="18"/>
              </w:rPr>
              <w:t>600 000 FCFA</w:t>
            </w:r>
          </w:p>
        </w:tc>
        <w:tc>
          <w:tcPr>
            <w:tcW w:type="dxa" w:w="19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right"/>
            </w:pPr>
            <w:r>
              <w:rPr>
                <w:b/>
                <w:color w:val="059669"/>
                <w:sz w:val="18"/>
              </w:rPr>
              <w:t>5 000 FCFA</w:t>
            </w:r>
          </w:p>
        </w:tc>
      </w:tr>
      <w:tr>
        <w:tc>
          <w:tcPr>
            <w:tcW w:type="dxa" w:w="45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type="dxa" w:w="481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sz w:val="18"/>
              </w:rPr>
              <w:t>Documentation technique &amp; guide utilisateur</w:t>
            </w:r>
          </w:p>
        </w:tc>
        <w:tc>
          <w:tcPr>
            <w:tcW w:type="dxa" w:w="19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right"/>
            </w:pPr>
            <w:r>
              <w:rPr>
                <w:color w:val="6B7280"/>
                <w:sz w:val="18"/>
              </w:rPr>
              <w:t>300 000 FCFA</w:t>
            </w:r>
          </w:p>
        </w:tc>
        <w:tc>
          <w:tcPr>
            <w:tcW w:type="dxa" w:w="19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right"/>
            </w:pPr>
            <w:r>
              <w:rPr>
                <w:b/>
                <w:color w:val="059669"/>
                <w:sz w:val="18"/>
              </w:rPr>
              <w:t>3 000 FCFA</w:t>
            </w:r>
          </w:p>
        </w:tc>
      </w:tr>
      <w:tr>
        <w:tc>
          <w:tcPr>
            <w:tcW w:type="dxa" w:w="45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type="dxa" w:w="481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sz w:val="18"/>
              </w:rPr>
              <w:t>Formation administrateurs (2 sessions)</w:t>
            </w:r>
          </w:p>
        </w:tc>
        <w:tc>
          <w:tcPr>
            <w:tcW w:type="dxa" w:w="19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right"/>
            </w:pPr>
            <w:r>
              <w:rPr>
                <w:color w:val="6B7280"/>
                <w:sz w:val="18"/>
              </w:rPr>
              <w:t>200 000 FCFA</w:t>
            </w:r>
          </w:p>
        </w:tc>
        <w:tc>
          <w:tcPr>
            <w:tcW w:type="dxa" w:w="19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right"/>
            </w:pPr>
            <w:r>
              <w:rPr>
                <w:b/>
                <w:color w:val="059669"/>
                <w:sz w:val="18"/>
              </w:rPr>
              <w:t>4 000 FCFA</w:t>
            </w:r>
          </w:p>
        </w:tc>
      </w:tr>
      <w:tr>
        <w:tc>
          <w:tcPr>
            <w:tcW w:type="dxa" w:w="45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>
              <w:rPr>
                <w:b/>
              </w:rPr>
              <w:t>11</w:t>
            </w:r>
          </w:p>
        </w:tc>
        <w:tc>
          <w:tcPr>
            <w:tcW w:type="dxa" w:w="481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sz w:val="18"/>
              </w:rPr>
              <w:t>Maintenance &amp; évolutions sur 5 mois</w:t>
            </w:r>
          </w:p>
        </w:tc>
        <w:tc>
          <w:tcPr>
            <w:tcW w:type="dxa" w:w="19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right"/>
            </w:pPr>
            <w:r>
              <w:rPr>
                <w:color w:val="6B7280"/>
                <w:sz w:val="18"/>
              </w:rPr>
              <w:t>700 000 FCFA</w:t>
            </w:r>
          </w:p>
        </w:tc>
        <w:tc>
          <w:tcPr>
            <w:tcW w:type="dxa" w:w="19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right"/>
            </w:pPr>
            <w:r>
              <w:rPr>
                <w:b/>
                <w:color w:val="059669"/>
                <w:sz w:val="18"/>
              </w:rPr>
              <w:t>5 000 FCFA</w:t>
            </w:r>
          </w:p>
        </w:tc>
      </w:tr>
      <w:tr>
        <w:tc>
          <w:tcPr>
            <w:tcW w:type="dxa" w:w="5273"/>
            <w:gridSpan w:val="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val="clear" w:color="auto" w:fill="F3F4F6"/>
          </w:tcPr>
          <w:p>
            <w:pPr>
              <w:jc w:val="right"/>
            </w:pPr>
            <w:r>
              <w:rPr>
                <w:b/>
                <w:sz w:val="20"/>
              </w:rPr>
              <w:t>TOTAL HT</w:t>
            </w:r>
          </w:p>
        </w:tc>
        <w:tc>
          <w:tcPr>
            <w:tcW w:type="dxa" w:w="19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val="clear" w:color="auto" w:fill="F3F4F6"/>
          </w:tcPr>
          <w:p>
            <w:pPr>
              <w:jc w:val="right"/>
            </w:pPr>
            <w:r>
              <w:rPr>
                <w:b/>
                <w:sz w:val="20"/>
              </w:rPr>
              <w:t>9 000 000 FCFA</w:t>
            </w:r>
          </w:p>
        </w:tc>
        <w:tc>
          <w:tcPr>
            <w:tcW w:type="dxa" w:w="19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val="clear" w:color="auto" w:fill="F3F4F6"/>
          </w:tcPr>
          <w:p>
            <w:pPr>
              <w:jc w:val="right"/>
            </w:pPr>
            <w:r>
              <w:rPr>
                <w:b/>
                <w:color w:val="059669"/>
                <w:sz w:val="20"/>
              </w:rPr>
              <w:t>70 000 FCFA</w:t>
            </w:r>
          </w:p>
        </w:tc>
      </w:tr>
      <w:tr>
        <w:tc>
          <w:tcPr>
            <w:tcW w:type="dxa" w:w="5273"/>
            <w:gridSpan w:val="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right"/>
            </w:pPr>
            <w:r>
              <w:rPr>
                <w:i/>
                <w:sz w:val="18"/>
              </w:rPr>
              <w:t>TVA (non applicable — auto-entrepreneur)</w:t>
            </w:r>
          </w:p>
        </w:tc>
        <w:tc>
          <w:tcPr>
            <w:tcW w:type="dxa" w:w="19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right"/>
            </w:pPr>
            <w:r>
              <w:rPr>
                <w:sz w:val="18"/>
              </w:rPr>
              <w:t>0 FCFA</w:t>
            </w:r>
          </w:p>
        </w:tc>
        <w:tc>
          <w:tcPr>
            <w:tcW w:type="dxa" w:w="19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right"/>
            </w:pPr>
            <w:r>
              <w:rPr>
                <w:sz w:val="18"/>
              </w:rPr>
              <w:t>0 FCFA</w:t>
            </w:r>
          </w:p>
        </w:tc>
      </w:tr>
      <w:tr>
        <w:tc>
          <w:tcPr>
            <w:tcW w:type="dxa" w:w="5273"/>
            <w:gridSpan w:val="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val="clear" w:color="auto" w:fill="1E40AF"/>
          </w:tcPr>
          <w:p>
            <w:pPr>
              <w:jc w:val="right"/>
            </w:pPr>
            <w:r>
              <w:rPr>
                <w:b/>
                <w:color w:val="FFFFFF"/>
                <w:sz w:val="22"/>
              </w:rPr>
              <w:t>TOTAL TTC</w:t>
            </w:r>
          </w:p>
        </w:tc>
        <w:tc>
          <w:tcPr>
            <w:tcW w:type="dxa" w:w="19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val="clear" w:color="auto" w:fill="1E40AF"/>
          </w:tcPr>
          <w:p>
            <w:pPr>
              <w:jc w:val="right"/>
            </w:pPr>
            <w:r>
              <w:rPr>
                <w:b/>
                <w:color w:val="FFFFFF"/>
                <w:sz w:val="22"/>
              </w:rPr>
              <w:t>9 000 000 FCFA</w:t>
            </w:r>
          </w:p>
        </w:tc>
        <w:tc>
          <w:tcPr>
            <w:tcW w:type="dxa" w:w="19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val="clear" w:color="auto" w:fill="1E40AF"/>
          </w:tcPr>
          <w:p>
            <w:pPr>
              <w:jc w:val="right"/>
            </w:pPr>
            <w:r>
              <w:rPr>
                <w:b/>
                <w:color w:val="FFFFFF"/>
                <w:sz w:val="22"/>
              </w:rPr>
              <w:t>70 000 FCFA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CFDF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/>
                <w:color w:val="059669"/>
                <w:sz w:val="22"/>
              </w:rPr>
              <w:t>💚 Remise consentie au CAYA : 8 930 000 FCFA  (99.2 %)</w:t>
            </w:r>
          </w:p>
          <w:p>
            <w:r>
              <w:rPr>
                <w:i/>
                <w:color w:val="1F2937"/>
                <w:sz w:val="18"/>
              </w:rPr>
              <w:t>Geste de soutien à l'association — le tarif consenti vise uniquement à amortir une partie du temps investi depuis le démarrage du projet.</w:t>
            </w:r>
          </w:p>
        </w:tc>
      </w:tr>
    </w:tbl>
    <w:p>
      <w:pPr>
        <w:spacing w:before="360" w:after="120"/>
      </w:pPr>
      <w:r>
        <w:rPr>
          <w:b/>
          <w:color w:val="1E40AF"/>
          <w:sz w:val="24"/>
        </w:rPr>
        <w:t>Conditions de paiement</w:t>
      </w:r>
    </w:p>
    <w:p>
      <w:pPr>
        <w:pStyle w:val="ListBullet"/>
      </w:pPr>
      <w:r>
        <w:rPr>
          <w:sz w:val="20"/>
        </w:rPr>
        <w:t>Règlement par Mobile Money ou virement bancaire</w:t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r>
              <w:rPr>
                <w:b/>
              </w:rPr>
              <w:t>Le prestataire</w:t>
            </w:r>
          </w:p>
          <w:p>
            <w:r>
              <w:t>OMGBA FOUDA Christ</w:t>
            </w:r>
          </w:p>
          <w:p>
            <w:r>
              <w:br/>
              <w:br/>
              <w:t>_____________________</w:t>
            </w:r>
          </w:p>
          <w:p>
            <w:r>
              <w:rPr>
                <w:i/>
              </w:rPr>
              <w:t>Date &amp; signature</w:t>
            </w:r>
          </w:p>
        </w:tc>
        <w:tc>
          <w:tcPr>
            <w:tcW w:type="dxa" w:w="4986"/>
          </w:tcPr>
          <w:p>
            <w:r>
              <w:rPr>
                <w:b/>
              </w:rPr>
              <w:t>Le client (Bon pour accord)</w:t>
            </w:r>
          </w:p>
          <w:p>
            <w:r>
              <w:t>Club des Amis de Yaoundé (CAYA)</w:t>
            </w:r>
          </w:p>
          <w:p>
            <w:r>
              <w:br/>
              <w:br/>
              <w:t>_____________________</w:t>
            </w:r>
          </w:p>
          <w:p>
            <w:r>
              <w:rPr>
                <w:i/>
              </w:rPr>
              <w:t>Date, signature &amp; cachet</w:t>
            </w:r>
          </w:p>
        </w:tc>
      </w:tr>
    </w:tbl>
    <w:p/>
    <w:p>
      <w:pPr>
        <w:jc w:val="center"/>
      </w:pPr>
      <w:r>
        <w:rPr>
          <w:i/>
          <w:color w:val="6B7280"/>
          <w:sz w:val="16"/>
        </w:rPr>
        <w:t>Devis émis le 01 mai 2026 — Valable 30 jours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