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06" w:rsidRPr="007D6806" w:rsidRDefault="007D6806" w:rsidP="007D6806">
      <w:pPr>
        <w:widowControl w:val="0"/>
        <w:autoSpaceDE w:val="0"/>
        <w:autoSpaceDN w:val="0"/>
        <w:adjustRightInd w:val="0"/>
        <w:rPr>
          <w:rFonts w:ascii="Verdana" w:eastAsiaTheme="minorEastAsia" w:hAnsi="Verdana" w:cs="Verdana"/>
          <w:b/>
          <w:sz w:val="28"/>
          <w:szCs w:val="28"/>
        </w:rPr>
      </w:pPr>
      <w:r w:rsidRPr="007D6806">
        <w:rPr>
          <w:rFonts w:ascii="Verdana" w:eastAsiaTheme="minorEastAsia" w:hAnsi="Verdana" w:cs="Verdana"/>
          <w:b/>
          <w:sz w:val="28"/>
          <w:szCs w:val="28"/>
        </w:rPr>
        <w:t>Technical evaluation of Digital Interactive Television Pilot</w:t>
      </w:r>
    </w:p>
    <w:p w:rsidR="001308B7" w:rsidRPr="007D6806" w:rsidRDefault="007D6806">
      <w:hyperlink r:id="rId5" w:history="1">
        <w:r w:rsidRPr="00EB7E5B">
          <w:rPr>
            <w:rStyle w:val="Hyperlink"/>
            <w:b/>
          </w:rPr>
          <w:t>http://www.gov.scot/Publications/2006/01/12104731/6</w:t>
        </w:r>
      </w:hyperlink>
      <w:r>
        <w:rPr>
          <w:b/>
        </w:rPr>
        <w:t xml:space="preserve"> </w:t>
      </w:r>
      <w:r w:rsidRPr="007D6806">
        <w:t>(Scottish government)</w:t>
      </w:r>
    </w:p>
    <w:p w:rsidR="007D6806" w:rsidRDefault="007D6806">
      <w:pPr>
        <w:rPr>
          <w:b/>
        </w:rPr>
      </w:pPr>
    </w:p>
    <w:p w:rsidR="007D6806" w:rsidRDefault="007D6806">
      <w:pPr>
        <w:rPr>
          <w:b/>
        </w:rPr>
      </w:pPr>
    </w:p>
    <w:p w:rsidR="007D6806" w:rsidRDefault="007D6806">
      <w:pPr>
        <w:rPr>
          <w:b/>
        </w:rPr>
      </w:pPr>
    </w:p>
    <w:p w:rsidR="007D6806" w:rsidRDefault="007D6806" w:rsidP="007D6806">
      <w:pPr>
        <w:widowControl w:val="0"/>
        <w:autoSpaceDE w:val="0"/>
        <w:autoSpaceDN w:val="0"/>
        <w:adjustRightInd w:val="0"/>
        <w:rPr>
          <w:rFonts w:ascii="Verdana" w:eastAsiaTheme="minorEastAsia" w:hAnsi="Verdana" w:cs="Verdana"/>
          <w:sz w:val="24"/>
          <w:szCs w:val="24"/>
        </w:rPr>
      </w:pPr>
      <w:r>
        <w:rPr>
          <w:rFonts w:ascii="Verdana" w:eastAsiaTheme="minorEastAsia" w:hAnsi="Verdana" w:cs="Verdana"/>
          <w:sz w:val="24"/>
          <w:szCs w:val="24"/>
        </w:rPr>
        <w:t>According to latest OFCOM statistics and operators results, By 30 June 2005 digital TV penetration was estimated to have reached 15.7m or 63.0% of UK households, up from 61.9% at 31 March 2005. The number of digital television households grew by almost 298,000 during the quarter, increasing digital penetration by 1.1% points.</w:t>
      </w:r>
    </w:p>
    <w:p w:rsidR="007D6806" w:rsidRDefault="007D6806">
      <w:pPr>
        <w:rPr>
          <w:b/>
        </w:rPr>
      </w:pPr>
    </w:p>
    <w:p w:rsidR="007D6806" w:rsidRDefault="007D6806">
      <w:pPr>
        <w:rPr>
          <w:b/>
        </w:rPr>
      </w:pPr>
    </w:p>
    <w:p w:rsidR="007D6806" w:rsidRDefault="007D6806" w:rsidP="007D6806">
      <w:pPr>
        <w:widowControl w:val="0"/>
        <w:autoSpaceDE w:val="0"/>
        <w:autoSpaceDN w:val="0"/>
        <w:adjustRightInd w:val="0"/>
        <w:rPr>
          <w:rFonts w:ascii="Verdana" w:eastAsiaTheme="minorEastAsia" w:hAnsi="Verdana" w:cs="Verdana"/>
          <w:sz w:val="24"/>
          <w:szCs w:val="24"/>
        </w:rPr>
      </w:pPr>
      <w:r>
        <w:rPr>
          <w:rFonts w:ascii="Verdana" w:eastAsiaTheme="minorEastAsia" w:hAnsi="Verdana" w:cs="Verdana"/>
          <w:sz w:val="24"/>
          <w:szCs w:val="24"/>
        </w:rPr>
        <w:t>Marketing to the older generation still remains an issue. Awareness of DTV has improved, however being aware and comprehending the message is very different.</w:t>
      </w:r>
    </w:p>
    <w:p w:rsidR="007D6806" w:rsidRDefault="007D6806" w:rsidP="007D6806">
      <w:pPr>
        <w:widowControl w:val="0"/>
        <w:autoSpaceDE w:val="0"/>
        <w:autoSpaceDN w:val="0"/>
        <w:adjustRightInd w:val="0"/>
        <w:rPr>
          <w:rFonts w:ascii="Verdana" w:eastAsiaTheme="minorEastAsia" w:hAnsi="Verdana" w:cs="Verdana"/>
          <w:sz w:val="24"/>
          <w:szCs w:val="24"/>
        </w:rPr>
      </w:pPr>
    </w:p>
    <w:p w:rsidR="007D6806" w:rsidRDefault="007D6806" w:rsidP="007D6806">
      <w:pPr>
        <w:widowControl w:val="0"/>
        <w:autoSpaceDE w:val="0"/>
        <w:autoSpaceDN w:val="0"/>
        <w:adjustRightInd w:val="0"/>
        <w:rPr>
          <w:rFonts w:ascii="Verdana" w:eastAsiaTheme="minorEastAsia" w:hAnsi="Verdana" w:cs="Verdana"/>
          <w:sz w:val="24"/>
          <w:szCs w:val="24"/>
        </w:rPr>
      </w:pPr>
      <w:r>
        <w:rPr>
          <w:rFonts w:ascii="Verdana" w:eastAsiaTheme="minorEastAsia" w:hAnsi="Verdana" w:cs="Verdana"/>
          <w:sz w:val="24"/>
          <w:szCs w:val="24"/>
        </w:rPr>
        <w:t>While marketing for DTV has already increased, it remains largely focused on younger communities of viewers better placed to understand the messages being delivered.</w:t>
      </w:r>
    </w:p>
    <w:p w:rsidR="007D6806" w:rsidRDefault="007D6806" w:rsidP="007D6806">
      <w:pPr>
        <w:widowControl w:val="0"/>
        <w:autoSpaceDE w:val="0"/>
        <w:autoSpaceDN w:val="0"/>
        <w:adjustRightInd w:val="0"/>
        <w:rPr>
          <w:rFonts w:ascii="Verdana" w:eastAsiaTheme="minorEastAsia" w:hAnsi="Verdana" w:cs="Verdana"/>
          <w:sz w:val="24"/>
          <w:szCs w:val="24"/>
        </w:rPr>
      </w:pPr>
      <w:bookmarkStart w:id="0" w:name="_GoBack"/>
      <w:bookmarkEnd w:id="0"/>
    </w:p>
    <w:p w:rsidR="007D6806" w:rsidRDefault="007D6806" w:rsidP="007D6806">
      <w:pPr>
        <w:rPr>
          <w:rFonts w:ascii="Verdana" w:eastAsiaTheme="minorEastAsia" w:hAnsi="Verdana" w:cs="Verdana"/>
          <w:sz w:val="24"/>
          <w:szCs w:val="24"/>
        </w:rPr>
      </w:pPr>
      <w:r>
        <w:rPr>
          <w:rFonts w:ascii="Verdana" w:eastAsiaTheme="minorEastAsia" w:hAnsi="Verdana" w:cs="Verdana"/>
          <w:sz w:val="24"/>
          <w:szCs w:val="24"/>
        </w:rPr>
        <w:t>Much more has to be done to market effectively to the older generation. This is particularly pertinent when many of the older generation have higher disposable income than younger people. A recent report on the UK's wealth levels published by the Future Foundation and Inscape, indicates the 'grey pound' is becoming ever more powerful.</w:t>
      </w:r>
    </w:p>
    <w:p w:rsidR="007D6806" w:rsidRDefault="007D6806" w:rsidP="007D6806">
      <w:pPr>
        <w:rPr>
          <w:rFonts w:ascii="Verdana" w:eastAsiaTheme="minorEastAsia" w:hAnsi="Verdana" w:cs="Verdana"/>
          <w:sz w:val="24"/>
          <w:szCs w:val="24"/>
        </w:rPr>
      </w:pPr>
    </w:p>
    <w:p w:rsidR="007D6806" w:rsidRPr="007D6806" w:rsidRDefault="007D6806" w:rsidP="007D6806">
      <w:pPr>
        <w:rPr>
          <w:b/>
        </w:rPr>
      </w:pPr>
    </w:p>
    <w:sectPr w:rsidR="007D6806" w:rsidRPr="007D6806" w:rsidSect="00E168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06"/>
    <w:rsid w:val="001308B7"/>
    <w:rsid w:val="00207D9E"/>
    <w:rsid w:val="007D6806"/>
    <w:rsid w:val="00C6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C644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8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8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v.scot/Publications/2006/01/12104731/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Woytarowicz</dc:creator>
  <cp:keywords/>
  <dc:description/>
  <cp:lastModifiedBy>Nicole Woytarowicz</cp:lastModifiedBy>
  <cp:revision>1</cp:revision>
  <dcterms:created xsi:type="dcterms:W3CDTF">2016-01-29T21:49:00Z</dcterms:created>
  <dcterms:modified xsi:type="dcterms:W3CDTF">2016-01-29T21:53:00Z</dcterms:modified>
</cp:coreProperties>
</file>