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1746AE3" w14:textId="77777777" w:rsidR="0069087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ad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ad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ad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ad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ad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ad"/>
                <w:noProof/>
                <w:lang w:val="en-US"/>
              </w:rPr>
              <w:t>Anthena</w:t>
            </w:r>
            <w:r w:rsidR="0069087E" w:rsidRPr="000A1157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ad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ad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ad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ad"/>
                <w:noProof/>
                <w:lang w:val="en-US"/>
              </w:rPr>
              <w:t>Use</w:t>
            </w:r>
            <w:r w:rsidR="0069087E" w:rsidRPr="000A1157">
              <w:rPr>
                <w:rStyle w:val="ad"/>
                <w:noProof/>
              </w:rPr>
              <w:t xml:space="preserve"> </w:t>
            </w:r>
            <w:r w:rsidR="0069087E" w:rsidRPr="000A1157">
              <w:rPr>
                <w:rStyle w:val="ad"/>
                <w:noProof/>
                <w:lang w:val="en-US"/>
              </w:rPr>
              <w:t>Cases</w:t>
            </w:r>
            <w:r w:rsidR="0069087E" w:rsidRPr="000A1157">
              <w:rPr>
                <w:rStyle w:val="ad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ad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ad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713D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ad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5719D48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[5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6" w:name="Xbn102120"/>
      <w:bookmarkEnd w:id="6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7" w:name="Xbu1744798"/>
      <w:bookmarkEnd w:id="7"/>
      <w:r w:rsidRPr="00E506D5">
        <w:rPr>
          <w:rFonts w:ascii="Consolas" w:hAnsi="Consolas" w:cs="Consolas"/>
          <w:b/>
          <w:szCs w:val="28"/>
        </w:rPr>
        <w:t>e</w:t>
      </w:r>
      <w:bookmarkStart w:id="8" w:name="Xbu1744799"/>
      <w:bookmarkEnd w:id="8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9" w:name="Xbc2287946"/>
      <w:bookmarkEnd w:id="9"/>
      <w:r w:rsidRPr="00E506D5">
        <w:rPr>
          <w:rFonts w:ascii="Consolas" w:hAnsi="Consolas" w:cs="Consolas"/>
          <w:b/>
          <w:szCs w:val="28"/>
        </w:rPr>
        <w:t>egin</w:t>
      </w:r>
      <w:bookmarkStart w:id="10" w:name="Xbc2287947"/>
      <w:bookmarkEnd w:id="10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E4521C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11" w:name="Xbn102475"/>
      <w:bookmarkEnd w:id="11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2" w:name="Xbk1814002"/>
      <w:bookmarkEnd w:id="12"/>
      <w:r w:rsidRPr="00E506D5">
        <w:rPr>
          <w:rFonts w:ascii="Consolas" w:hAnsi="Consolas" w:cs="Times New Roman"/>
          <w:b/>
          <w:szCs w:val="28"/>
        </w:rPr>
        <w:t>M</w:t>
      </w:r>
      <w:bookmarkStart w:id="13" w:name="Xbk1814000"/>
      <w:bookmarkEnd w:id="13"/>
      <w:r w:rsidRPr="00E506D5">
        <w:rPr>
          <w:rFonts w:ascii="Consolas" w:hAnsi="Consolas" w:cs="Times New Roman"/>
          <w:b/>
          <w:szCs w:val="28"/>
        </w:rPr>
        <w:t>at</w:t>
      </w:r>
      <w:bookmarkStart w:id="14" w:name="Xbk1814001"/>
      <w:bookmarkEnd w:id="14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E4521C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E4521C">
        <w:rPr>
          <w:rFonts w:cs="Times New Roman"/>
          <w:szCs w:val="28"/>
          <w:u w:val="single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E4521C">
        <w:rPr>
          <w:rFonts w:cs="Times New Roman"/>
          <w:szCs w:val="28"/>
          <w:u w:val="single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a7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5" w:name="Xbc2287833"/>
      <w:bookmarkEnd w:id="15"/>
      <w:r w:rsidRPr="00E506D5">
        <w:rPr>
          <w:b/>
          <w:szCs w:val="28"/>
        </w:rPr>
        <w:t>A</w:t>
      </w:r>
      <w:bookmarkStart w:id="16" w:name="Xbc2287831"/>
      <w:bookmarkEnd w:id="16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10"/>
      </w:pPr>
      <w:bookmarkStart w:id="17" w:name="_Toc34817985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7"/>
    </w:p>
    <w:p w14:paraId="13947FB0" w14:textId="6C3BFC08" w:rsidR="0032026F" w:rsidRPr="0032026F" w:rsidRDefault="00FA3016" w:rsidP="00FA3016">
      <w:pPr>
        <w:pStyle w:val="10"/>
        <w:ind w:firstLine="708"/>
      </w:pPr>
      <w:bookmarkStart w:id="18" w:name="_Toc34817986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8"/>
    </w:p>
    <w:p w14:paraId="313248C7" w14:textId="51863737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19" w:name="_Toc472681135"/>
      <w:bookmarkStart w:id="20" w:name="_Toc34817987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9"/>
      <w:bookmarkEnd w:id="20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2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2" w:name="_Ref475872475"/>
      <w:bookmarkStart w:id="23" w:name="_Ref475872479"/>
      <w:bookmarkEnd w:id="2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2"/>
      <w:bookmarkEnd w:id="23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bookmarkStart w:id="24" w:name="_Toc34817988"/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a7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a7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10"/>
      </w:pPr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25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0C4F3B63" w14:textId="42BCF1C4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EE55FD">
        <w:rPr>
          <w:color w:val="000000" w:themeColor="text1"/>
          <w:sz w:val="28"/>
          <w:szCs w:val="28"/>
          <w:lang w:val="ru-RU"/>
        </w:rPr>
        <w:t>му на концептуальном уровне[8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7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E7F0B36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</w:t>
      </w:r>
      <w:r w:rsidR="00EE55FD">
        <w:t>тся на связи между объектами [8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rPr>
          <w:noProof/>
          <w:lang w:eastAsia="ru-RU"/>
        </w:rPr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8" w:name="_Ref477702443"/>
      <w:r>
        <w:t xml:space="preserve">Рисунок </w:t>
      </w:r>
      <w:bookmarkEnd w:id="28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fd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fd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10"/>
      </w:pPr>
      <w:bookmarkStart w:id="29" w:name="_Toc34817991"/>
      <w:r>
        <w:lastRenderedPageBreak/>
        <w:t>3.3 Макет пользовательского интерфейса</w:t>
      </w:r>
      <w:bookmarkEnd w:id="29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04D561A8">
            <wp:extent cx="3686689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Default="00773229" w:rsidP="00773229">
      <w:pPr>
        <w:pStyle w:val="ac"/>
        <w:jc w:val="center"/>
      </w:pPr>
      <w:bookmarkStart w:id="30" w:name="_Ref477704740"/>
      <w:r>
        <w:t xml:space="preserve">Рисунок </w:t>
      </w:r>
      <w:bookmarkStart w:id="31" w:name="_Ref475872673"/>
      <w:bookmarkEnd w:id="30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1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6F28DFE3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</w:t>
      </w:r>
    </w:p>
    <w:p w14:paraId="195BE5D2" w14:textId="0568EF06" w:rsidR="00271B9D" w:rsidRPr="00E4521C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>будет открываться дополнительное окно сообщения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 xml:space="preserve">равильно вводе параметров горки </w:t>
      </w:r>
      <w:r w:rsidR="00E4521C">
        <w:rPr>
          <w:rFonts w:cs="Times New Roman"/>
          <w:color w:val="000000" w:themeColor="text1"/>
          <w:szCs w:val="28"/>
        </w:rPr>
        <w:t>будет выводиться сообщение с ошибкой в определенной строке.</w:t>
      </w:r>
      <w:bookmarkStart w:id="32" w:name="_GoBack"/>
      <w:bookmarkEnd w:id="32"/>
    </w:p>
    <w:p w14:paraId="0BECCA38" w14:textId="66C6663F" w:rsidR="000860FC" w:rsidRPr="003409F9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10"/>
      </w:pPr>
      <w:bookmarkStart w:id="33" w:name="_Toc472681143"/>
      <w:bookmarkStart w:id="34" w:name="_Toc477703894"/>
      <w:bookmarkStart w:id="35" w:name="_Toc34817992"/>
      <w:r w:rsidRPr="00FB50C3">
        <w:lastRenderedPageBreak/>
        <w:t>Список литературы</w:t>
      </w:r>
      <w:bookmarkEnd w:id="33"/>
      <w:bookmarkEnd w:id="34"/>
      <w:bookmarkEnd w:id="35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3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5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6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7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E6F" w16cex:dateUtc="2020-04-04T13:37:00Z"/>
  <w16cex:commentExtensible w16cex:durableId="22336EEF" w16cex:dateUtc="2020-04-04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C0EF9E" w16cid:durableId="22336E6F"/>
  <w16cid:commentId w16cid:paraId="44037465" w16cid:durableId="22336EE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D14ED" w14:textId="77777777" w:rsidR="00713D2F" w:rsidRDefault="00713D2F" w:rsidP="00B46607">
      <w:pPr>
        <w:spacing w:line="240" w:lineRule="auto"/>
      </w:pPr>
      <w:r>
        <w:separator/>
      </w:r>
    </w:p>
  </w:endnote>
  <w:endnote w:type="continuationSeparator" w:id="0">
    <w:p w14:paraId="251CE453" w14:textId="77777777" w:rsidR="00713D2F" w:rsidRDefault="00713D2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36BE8" w14:textId="77777777" w:rsidR="00713D2F" w:rsidRDefault="00713D2F" w:rsidP="00B46607">
      <w:pPr>
        <w:spacing w:line="240" w:lineRule="auto"/>
      </w:pPr>
      <w:r>
        <w:separator/>
      </w:r>
    </w:p>
  </w:footnote>
  <w:footnote w:type="continuationSeparator" w:id="0">
    <w:p w14:paraId="1ED90AA8" w14:textId="77777777" w:rsidR="00713D2F" w:rsidRDefault="00713D2F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3D2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521C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s://cad-pla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hyperlink" Target="https://ru.wikipedia.org/wiki/API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94%D0%B5%D1%82%D1%81%D0%BA%D0%B0%D1%8F_%D0%B3%D0%BE%D1%80%D0%BA%D0%B0" TargetMode="Externa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BA848-4A69-4D24-9844-270929BB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23</Pages>
  <Words>3640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36</cp:revision>
  <cp:lastPrinted>2019-01-19T07:08:00Z</cp:lastPrinted>
  <dcterms:created xsi:type="dcterms:W3CDTF">2020-02-29T18:45:00Z</dcterms:created>
  <dcterms:modified xsi:type="dcterms:W3CDTF">2020-04-07T22:31:00Z</dcterms:modified>
</cp:coreProperties>
</file>