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lastRenderedPageBreak/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r w:rsidRPr="00E8140B">
        <w:t>Javascript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request</w:t>
      </w:r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connection</w:t>
      </w:r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close</w:t>
      </w:r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r w:rsidRPr="00CF24E6">
        <w:rPr>
          <w:rStyle w:val="CodeBlack"/>
        </w:rPr>
        <w:t>setTimeout</w:t>
      </w:r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>Time line of requests, callback and setTimeouts</w:t>
      </w:r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>This process has no blocking code being that all these functions are being executed together and are only governed by timeouts</w:t>
      </w:r>
      <w:r w:rsidR="00BE4D55">
        <w:t xml:space="preserve"> which we can set to a time we choose.</w:t>
      </w:r>
      <w:bookmarkStart w:id="0" w:name="_GoBack"/>
      <w:bookmarkEnd w:id="0"/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0BAB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04A3DC8" w14:textId="77777777" w:rsidR="00361DB0" w:rsidRPr="00E8140B" w:rsidRDefault="00361DB0" w:rsidP="00261491">
      <w:pPr>
        <w:pStyle w:val="NoteLevel1"/>
        <w:numPr>
          <w:ilvl w:val="0"/>
          <w:numId w:val="0"/>
        </w:numPr>
      </w:pPr>
    </w:p>
    <w:sectPr w:rsidR="00361DB0" w:rsidRPr="00E8140B" w:rsidSect="00413552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361DB0" w:rsidRDefault="00361DB0" w:rsidP="00790B15">
      <w:r>
        <w:separator/>
      </w:r>
    </w:p>
  </w:endnote>
  <w:endnote w:type="continuationSeparator" w:id="0">
    <w:p w14:paraId="00404602" w14:textId="77777777" w:rsidR="00361DB0" w:rsidRDefault="00361DB0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361DB0" w:rsidRDefault="00361DB0" w:rsidP="00790B15">
      <w:r>
        <w:separator/>
      </w:r>
    </w:p>
  </w:footnote>
  <w:footnote w:type="continuationSeparator" w:id="0">
    <w:p w14:paraId="5638AA5D" w14:textId="77777777" w:rsidR="00361DB0" w:rsidRDefault="00361DB0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361DB0" w:rsidRDefault="00361DB0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7AD56A-4119-C94A-85E4-C8FC8484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10</Pages>
  <Words>759</Words>
  <Characters>4332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5081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874</cp:revision>
  <dcterms:created xsi:type="dcterms:W3CDTF">2014-09-22T13:35:00Z</dcterms:created>
  <dcterms:modified xsi:type="dcterms:W3CDTF">2015-01-17T18:38:00Z</dcterms:modified>
  <cp:category/>
</cp:coreProperties>
</file>