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160" w:line="269" w:lineRule="auto"/>
        <w:jc w:val="right"/>
      </w:pPr>
      <w:r>
        <w:rPr>
          <w:rFonts w:ascii="Arial" w:hAnsi="Arial" w:cs="Arial" w:eastAsia="Arial"/>
          <w:b w:val="0"/>
          <w:color w:val="784814"/>
          <w:sz w:val="18"/>
          <w:rtl/>
          <w:szCs w:val="18"/>
        </w:rPr>
        <w:t>טיוטה לחתימה. המסמך אינו ייעוץ משפטי ואינו אישור שהקמפיין מותר. לפני החתימה יש להעביר אותו לעורך דין ישראלי מורשה, ובפרט אם הגיוס עלול להיחשב הצעה לציבור, נייר ערך או השקעה.</w:t>
      </w:r>
    </w:p>
    <w:p>
      <w:pPr>
        <w:bidi w:val="1"/>
        <w:spacing w:before="80" w:after="40" w:line="269" w:lineRule="auto"/>
        <w:jc w:val="center"/>
      </w:pPr>
      <w:r>
        <w:rPr>
          <w:rFonts w:ascii="Arial" w:hAnsi="Arial" w:cs="Arial" w:eastAsia="Arial"/>
          <w:b/>
          <w:color w:val="1E2A3E"/>
          <w:sz w:val="36"/>
          <w:rtl/>
          <w:szCs w:val="36"/>
        </w:rPr>
        <w:t>הסכם למתן שירותי קידום</w:t>
      </w:r>
    </w:p>
    <w:p>
      <w:pPr>
        <w:bidi w:val="1"/>
        <w:spacing w:before="0" w:after="40" w:line="269" w:lineRule="auto"/>
        <w:jc w:val="center"/>
      </w:pPr>
      <w:r>
        <w:rPr>
          <w:rFonts w:ascii="Arial" w:hAnsi="Arial" w:cs="Arial" w:eastAsia="Arial"/>
          <w:b w:val="0"/>
          <w:color w:val="464C56"/>
          <w:sz w:val="24"/>
          <w:rtl/>
          <w:szCs w:val="24"/>
        </w:rPr>
        <w:t>קמפיין גיוס המונים לשחרור הבטא של אפליקציית Failrail</w:t>
      </w:r>
    </w:p>
    <w:p>
      <w:pPr>
        <w:bidi w:val="1"/>
        <w:spacing w:before="0" w:after="160" w:line="269" w:lineRule="auto"/>
        <w:jc w:val="center"/>
      </w:pPr>
      <w:r>
        <w:rPr>
          <w:rFonts w:ascii="Arial" w:hAnsi="Arial" w:cs="Arial" w:eastAsia="Arial"/>
          <w:b w:val="0"/>
          <w:sz w:val="22"/>
          <w:rtl/>
          <w:szCs w:val="22"/>
        </w:rPr>
        <w:t>נערך ונחתם ביום __________ בחודש __________ שנת 2026</w:t>
      </w:r>
    </w:p>
    <w:p>
      <w:pPr>
        <w:bidi w:val="1"/>
        <w:spacing w:before="200" w:after="80" w:line="269" w:lineRule="auto"/>
        <w:jc w:val="right"/>
      </w:pPr>
      <w:r>
        <w:rPr>
          <w:rFonts w:ascii="Arial" w:hAnsi="Arial" w:cs="Arial" w:eastAsia="Arial"/>
          <w:b/>
          <w:color w:val="1E2A3E"/>
          <w:sz w:val="28"/>
          <w:rtl/>
          <w:szCs w:val="28"/>
        </w:rPr>
        <w:t>הצדדים</w:t>
      </w:r>
    </w:p>
    <w:p>
      <w:pPr>
        <w:bidi w:val="1"/>
        <w:spacing w:before="0" w:after="80" w:line="269" w:lineRule="auto"/>
        <w:jc w:val="right"/>
      </w:pPr>
      <w:r>
        <w:rPr>
          <w:rFonts w:ascii="Arial" w:hAnsi="Arial" w:cs="Arial" w:eastAsia="Arial"/>
          <w:b w:val="0"/>
          <w:sz w:val="22"/>
          <w:rtl/>
          <w:szCs w:val="22"/>
        </w:rPr>
        <w:t>בין: אביתר (להלן: המזמין).</w:t>
      </w:r>
    </w:p>
    <w:p>
      <w:pPr>
        <w:bidi w:val="1"/>
        <w:spacing w:before="0" w:after="80" w:line="269" w:lineRule="auto"/>
        <w:jc w:val="right"/>
      </w:pPr>
      <w:r>
        <w:rPr>
          <w:rFonts w:ascii="Arial" w:hAnsi="Arial" w:cs="Arial" w:eastAsia="Arial"/>
          <w:b w:val="0"/>
          <w:sz w:val="22"/>
          <w:rtl/>
          <w:szCs w:val="22"/>
        </w:rPr>
        <w:t>שם מלא כפי שמופיע בתעודת הזהות: אביתר ______________________________</w:t>
      </w:r>
    </w:p>
    <w:p>
      <w:pPr>
        <w:bidi w:val="1"/>
        <w:spacing w:before="0" w:after="80" w:line="269" w:lineRule="auto"/>
        <w:jc w:val="right"/>
      </w:pPr>
      <w:r>
        <w:rPr>
          <w:rFonts w:ascii="Arial" w:hAnsi="Arial" w:cs="Arial" w:eastAsia="Arial"/>
          <w:b w:val="0"/>
          <w:sz w:val="22"/>
          <w:rtl/>
          <w:szCs w:val="22"/>
        </w:rPr>
        <w:t>מספר זהות או מספר חברה: ______________________________</w:t>
      </w:r>
    </w:p>
    <w:p>
      <w:pPr>
        <w:bidi w:val="1"/>
        <w:spacing w:before="0" w:after="80" w:line="269" w:lineRule="auto"/>
        <w:jc w:val="right"/>
      </w:pPr>
      <w:r>
        <w:rPr>
          <w:rFonts w:ascii="Arial" w:hAnsi="Arial" w:cs="Arial" w:eastAsia="Arial"/>
          <w:b w:val="0"/>
          <w:sz w:val="22"/>
          <w:rtl/>
          <w:szCs w:val="22"/>
        </w:rPr>
        <w:t>כתובת: ______________________________</w:t>
      </w:r>
    </w:p>
    <w:p>
      <w:pPr>
        <w:bidi w:val="1"/>
        <w:spacing w:before="0" w:after="80" w:line="269" w:lineRule="auto"/>
        <w:jc w:val="right"/>
      </w:pPr>
      <w:r>
        <w:rPr>
          <w:rFonts w:ascii="Arial" w:hAnsi="Arial" w:cs="Arial" w:eastAsia="Arial"/>
          <w:b w:val="0"/>
          <w:sz w:val="22"/>
          <w:rtl/>
          <w:szCs w:val="22"/>
        </w:rPr>
        <w:t>דואר אלקטרוני: ______________________________</w:t>
      </w:r>
    </w:p>
    <w:p>
      <w:pPr>
        <w:bidi w:val="1"/>
        <w:spacing w:before="0" w:after="80" w:line="269" w:lineRule="auto"/>
        <w:jc w:val="right"/>
      </w:pPr>
      <w:r>
        <w:rPr>
          <w:rFonts w:ascii="Arial" w:hAnsi="Arial" w:cs="Arial" w:eastAsia="Arial"/>
          <w:b w:val="0"/>
          <w:sz w:val="22"/>
          <w:rtl/>
          <w:szCs w:val="22"/>
        </w:rPr>
        <w:t>טלפון: ______________________________</w:t>
      </w:r>
    </w:p>
    <w:p>
      <w:pPr>
        <w:bidi w:val="1"/>
        <w:spacing w:before="0" w:after="80" w:line="269" w:lineRule="auto"/>
        <w:jc w:val="right"/>
      </w:pPr>
      <w:r>
        <w:rPr>
          <w:rFonts w:ascii="Arial" w:hAnsi="Arial" w:cs="Arial" w:eastAsia="Arial"/>
          <w:b w:val="0"/>
          <w:sz w:val="22"/>
          <w:rtl/>
          <w:szCs w:val="22"/>
        </w:rPr>
        <w:t>מצד אחד;</w:t>
      </w:r>
    </w:p>
    <w:p>
      <w:pPr>
        <w:bidi w:val="1"/>
        <w:spacing w:before="0" w:after="80" w:line="269" w:lineRule="auto"/>
        <w:jc w:val="right"/>
      </w:pPr>
      <w:r>
        <w:rPr>
          <w:rFonts w:ascii="Arial" w:hAnsi="Arial" w:cs="Arial" w:eastAsia="Arial"/>
          <w:b w:val="0"/>
          <w:sz w:val="22"/>
          <w:rtl/>
          <w:szCs w:val="22"/>
        </w:rPr>
        <w:t>ובין: שליו (להלן: נותן השירות).</w:t>
      </w:r>
    </w:p>
    <w:p>
      <w:pPr>
        <w:bidi w:val="1"/>
        <w:spacing w:before="0" w:after="80" w:line="269" w:lineRule="auto"/>
        <w:jc w:val="right"/>
      </w:pPr>
      <w:r>
        <w:rPr>
          <w:rFonts w:ascii="Arial" w:hAnsi="Arial" w:cs="Arial" w:eastAsia="Arial"/>
          <w:b w:val="0"/>
          <w:sz w:val="22"/>
          <w:rtl/>
          <w:szCs w:val="22"/>
        </w:rPr>
        <w:t>שם מלא כפי שמופיע בתעודת הזהות: שליו ______________________________</w:t>
      </w:r>
    </w:p>
    <w:p>
      <w:pPr>
        <w:bidi w:val="1"/>
        <w:spacing w:before="0" w:after="80" w:line="269" w:lineRule="auto"/>
        <w:jc w:val="right"/>
      </w:pPr>
      <w:r>
        <w:rPr>
          <w:rFonts w:ascii="Arial" w:hAnsi="Arial" w:cs="Arial" w:eastAsia="Arial"/>
          <w:b w:val="0"/>
          <w:sz w:val="22"/>
          <w:rtl/>
          <w:szCs w:val="22"/>
        </w:rPr>
        <w:t>מספר זהות או מספר חברה: ______________________________</w:t>
      </w:r>
    </w:p>
    <w:p>
      <w:pPr>
        <w:bidi w:val="1"/>
        <w:spacing w:before="0" w:after="80" w:line="269" w:lineRule="auto"/>
        <w:jc w:val="right"/>
      </w:pPr>
      <w:r>
        <w:rPr>
          <w:rFonts w:ascii="Arial" w:hAnsi="Arial" w:cs="Arial" w:eastAsia="Arial"/>
          <w:b w:val="0"/>
          <w:sz w:val="22"/>
          <w:rtl/>
          <w:szCs w:val="22"/>
        </w:rPr>
        <w:t>כתובת: ______________________________</w:t>
      </w:r>
    </w:p>
    <w:p>
      <w:pPr>
        <w:bidi w:val="1"/>
        <w:spacing w:before="0" w:after="80" w:line="269" w:lineRule="auto"/>
        <w:jc w:val="right"/>
      </w:pPr>
      <w:r>
        <w:rPr>
          <w:rFonts w:ascii="Arial" w:hAnsi="Arial" w:cs="Arial" w:eastAsia="Arial"/>
          <w:b w:val="0"/>
          <w:sz w:val="22"/>
          <w:rtl/>
          <w:szCs w:val="22"/>
        </w:rPr>
        <w:t>דואר אלקטרוני: ______________________________</w:t>
      </w:r>
    </w:p>
    <w:p>
      <w:pPr>
        <w:bidi w:val="1"/>
        <w:spacing w:before="0" w:after="80" w:line="269" w:lineRule="auto"/>
        <w:jc w:val="right"/>
      </w:pPr>
      <w:r>
        <w:rPr>
          <w:rFonts w:ascii="Arial" w:hAnsi="Arial" w:cs="Arial" w:eastAsia="Arial"/>
          <w:b w:val="0"/>
          <w:sz w:val="22"/>
          <w:rtl/>
          <w:szCs w:val="22"/>
        </w:rPr>
        <w:t>טלפון: ______________________________</w:t>
      </w:r>
    </w:p>
    <w:p>
      <w:pPr>
        <w:bidi w:val="1"/>
        <w:spacing w:before="0" w:after="80" w:line="269" w:lineRule="auto"/>
        <w:jc w:val="right"/>
      </w:pPr>
      <w:r>
        <w:rPr>
          <w:rFonts w:ascii="Arial" w:hAnsi="Arial" w:cs="Arial" w:eastAsia="Arial"/>
          <w:b w:val="0"/>
          <w:sz w:val="22"/>
          <w:rtl/>
          <w:szCs w:val="22"/>
        </w:rPr>
        <w:t>מצד שני.</w:t>
      </w:r>
    </w:p>
    <w:p>
      <w:pPr>
        <w:bidi w:val="1"/>
        <w:spacing w:before="0" w:after="80" w:line="269" w:lineRule="auto"/>
        <w:jc w:val="right"/>
      </w:pPr>
      <w:r>
        <w:rPr>
          <w:rFonts w:ascii="Arial" w:hAnsi="Arial" w:cs="Arial" w:eastAsia="Arial"/>
          <w:b w:val="0"/>
          <w:sz w:val="22"/>
          <w:rtl/>
          <w:szCs w:val="22"/>
        </w:rPr>
        <w:t>המזמין ונותן השירות ייקראו יחד הצדדים, וכל אחד מהם צד. שדה שהושאר ריק יושלם בכתב יד או בדואר אלקטרוני לפני תחילת הפרסום, וההשלמה היא חלק מההסכם.</w:t>
      </w:r>
    </w:p>
    <w:p>
      <w:pPr>
        <w:bidi w:val="1"/>
        <w:spacing w:before="200" w:after="80" w:line="269" w:lineRule="auto"/>
        <w:jc w:val="right"/>
      </w:pPr>
      <w:r>
        <w:rPr>
          <w:rFonts w:ascii="Arial" w:hAnsi="Arial" w:cs="Arial" w:eastAsia="Arial"/>
          <w:b/>
          <w:color w:val="1E2A3E"/>
          <w:sz w:val="28"/>
          <w:rtl/>
          <w:szCs w:val="28"/>
        </w:rPr>
        <w:t>הואיל</w:t>
      </w:r>
    </w:p>
    <w:p>
      <w:pPr>
        <w:bidi w:val="1"/>
        <w:spacing w:before="0" w:after="80" w:line="269" w:lineRule="auto"/>
        <w:jc w:val="right"/>
      </w:pPr>
      <w:r>
        <w:rPr>
          <w:rFonts w:ascii="Arial" w:hAnsi="Arial" w:cs="Arial" w:eastAsia="Arial"/>
          <w:b w:val="0"/>
          <w:sz w:val="22"/>
          <w:rtl/>
          <w:szCs w:val="22"/>
        </w:rPr>
        <w:t>והמזמין מפעיל, או עומד להפעיל, קמפיין גיוס המונים אחד באתר Ko-fi, לשחרור גרסת הבטא של אפליקציית Failrail, כמפורט בנספח א;</w:t>
      </w:r>
    </w:p>
    <w:p>
      <w:pPr>
        <w:bidi w:val="1"/>
        <w:spacing w:before="0" w:after="80" w:line="269" w:lineRule="auto"/>
        <w:jc w:val="right"/>
      </w:pPr>
      <w:r>
        <w:rPr>
          <w:rFonts w:ascii="Arial" w:hAnsi="Arial" w:cs="Arial" w:eastAsia="Arial"/>
          <w:b w:val="0"/>
          <w:sz w:val="22"/>
          <w:rtl/>
          <w:szCs w:val="22"/>
        </w:rPr>
        <w:t>ונותן השירות יפרסם ויקדם את הקמפיין באינסטגרם, בטיקטוק, בפייסבוק ובכל מדיה חברתית נוספת;</w:t>
      </w:r>
    </w:p>
    <w:p>
      <w:pPr>
        <w:bidi w:val="1"/>
        <w:spacing w:before="0" w:after="80" w:line="269" w:lineRule="auto"/>
        <w:jc w:val="right"/>
      </w:pPr>
      <w:r>
        <w:rPr>
          <w:rFonts w:ascii="Arial" w:hAnsi="Arial" w:cs="Arial" w:eastAsia="Arial"/>
          <w:b w:val="0"/>
          <w:sz w:val="22"/>
          <w:rtl/>
          <w:szCs w:val="22"/>
        </w:rPr>
        <w:t>והצדדים מבקשים לקבוע מראש, ובאופן ממצה, מתי וממה תחושב עמלת נותן השירות, כך שלא תחול על סכום שמעבר ליעד, ולא על כסף שלא נכנס בפועל לחשבון המזמין;</w:t>
      </w:r>
    </w:p>
    <w:p>
      <w:pPr>
        <w:bidi w:val="1"/>
        <w:spacing w:before="0" w:after="80" w:line="269" w:lineRule="auto"/>
        <w:jc w:val="right"/>
      </w:pPr>
      <w:r>
        <w:rPr>
          <w:rFonts w:ascii="Arial" w:hAnsi="Arial" w:cs="Arial" w:eastAsia="Arial"/>
          <w:b w:val="0"/>
          <w:sz w:val="22"/>
          <w:rtl/>
          <w:szCs w:val="22"/>
        </w:rPr>
        <w:t>לפיכך הוסכם, הותנה והוצהר כדלקמן:</w:t>
      </w:r>
    </w:p>
    <w:p>
      <w:pPr>
        <w:bidi w:val="1"/>
        <w:spacing w:before="200" w:after="80" w:line="269" w:lineRule="auto"/>
        <w:jc w:val="right"/>
      </w:pPr>
      <w:r>
        <w:rPr>
          <w:rFonts w:ascii="Arial" w:hAnsi="Arial" w:cs="Arial" w:eastAsia="Arial"/>
          <w:b/>
          <w:color w:val="1E2A3E"/>
          <w:sz w:val="28"/>
          <w:rtl/>
          <w:szCs w:val="28"/>
        </w:rPr>
        <w:t>1. פרשנות</w:t>
      </w:r>
    </w:p>
    <w:p>
      <w:pPr>
        <w:bidi w:val="1"/>
        <w:spacing w:before="0" w:after="80" w:line="269" w:lineRule="auto"/>
        <w:jc w:val="right"/>
      </w:pPr>
      <w:r>
        <w:rPr>
          <w:rFonts w:ascii="Arial" w:hAnsi="Arial" w:cs="Arial" w:eastAsia="Arial"/>
          <w:b w:val="0"/>
          <w:sz w:val="22"/>
          <w:rtl/>
          <w:szCs w:val="22"/>
        </w:rPr>
        <w:t>1.1 כותרות הסעיפים הן לנוחות בלבד ואינן משפיעות על הפרשנות.</w:t>
      </w:r>
    </w:p>
    <w:p>
      <w:pPr>
        <w:bidi w:val="1"/>
        <w:spacing w:before="0" w:after="80" w:line="269" w:lineRule="auto"/>
        <w:jc w:val="right"/>
      </w:pPr>
      <w:r>
        <w:rPr>
          <w:rFonts w:ascii="Arial" w:hAnsi="Arial" w:cs="Arial" w:eastAsia="Arial"/>
          <w:b w:val="0"/>
          <w:sz w:val="22"/>
          <w:rtl/>
          <w:szCs w:val="22"/>
        </w:rPr>
        <w:t>1.2 נספח א ונספח ב הם חלק מההסכם. אם יש סתירה בין נספח ב לבין סעיף 4, סעיף 4 גובר. נספח ב מדגים את סעיף 4 ואינו מרחיב אותו.</w:t>
      </w:r>
    </w:p>
    <w:p>
      <w:pPr>
        <w:bidi w:val="1"/>
        <w:spacing w:before="0" w:after="80" w:line="269" w:lineRule="auto"/>
        <w:jc w:val="right"/>
      </w:pPr>
      <w:r>
        <w:rPr>
          <w:rFonts w:ascii="Arial" w:hAnsi="Arial" w:cs="Arial" w:eastAsia="Arial"/>
          <w:b w:val="0"/>
          <w:sz w:val="22"/>
          <w:rtl/>
          <w:szCs w:val="22"/>
        </w:rPr>
        <w:t>1.3 בכתב כולל דואר אלקטרוני מהכתובות שנרשמו במבוא. הודעת וואטסאפ, מסנג'ר, דיירקט או סטורי אינה משנה את שיעור העמלה, את היעד, את הגדרת הנטו, את התקרה, או כל סכום לפי הסכם זה.</w:t>
      </w:r>
    </w:p>
    <w:p>
      <w:pPr>
        <w:bidi w:val="1"/>
        <w:spacing w:before="0" w:after="80" w:line="269" w:lineRule="auto"/>
        <w:jc w:val="right"/>
      </w:pPr>
      <w:r>
        <w:rPr>
          <w:rFonts w:ascii="Arial" w:hAnsi="Arial" w:cs="Arial" w:eastAsia="Arial"/>
          <w:b w:val="0"/>
          <w:sz w:val="22"/>
          <w:rtl/>
          <w:szCs w:val="22"/>
        </w:rPr>
        <w:t>1.4 הנוסח העברי הוא הנוסח הקובע.</w:t>
      </w:r>
    </w:p>
    <w:p>
      <w:pPr>
        <w:bidi w:val="1"/>
        <w:spacing w:before="0" w:after="80" w:line="269" w:lineRule="auto"/>
        <w:jc w:val="right"/>
      </w:pPr>
      <w:r>
        <w:rPr>
          <w:rFonts w:ascii="Arial" w:hAnsi="Arial" w:cs="Arial" w:eastAsia="Arial"/>
          <w:b w:val="0"/>
          <w:sz w:val="22"/>
          <w:rtl/>
          <w:szCs w:val="22"/>
        </w:rPr>
        <w:t>1.5 עד שתושלם בנספח א כתובת עמוד הקמפיין באתר Ko-fi, נותן השירות לא יפרסם קישור ולא יפנה קהל לעמוד.</w:t>
      </w:r>
    </w:p>
    <w:p>
      <w:pPr>
        <w:bidi w:val="1"/>
        <w:spacing w:before="200" w:after="80" w:line="269" w:lineRule="auto"/>
        <w:jc w:val="right"/>
      </w:pPr>
      <w:r>
        <w:rPr>
          <w:rFonts w:ascii="Arial" w:hAnsi="Arial" w:cs="Arial" w:eastAsia="Arial"/>
          <w:b/>
          <w:color w:val="1E2A3E"/>
          <w:sz w:val="28"/>
          <w:rtl/>
          <w:szCs w:val="28"/>
        </w:rPr>
        <w:t>2. הגדרות</w:t>
      </w:r>
    </w:p>
    <w:p>
      <w:pPr>
        <w:bidi w:val="1"/>
        <w:spacing w:before="0" w:after="80" w:line="269" w:lineRule="auto"/>
        <w:jc w:val="right"/>
      </w:pPr>
      <w:r>
        <w:rPr>
          <w:rFonts w:ascii="Arial" w:hAnsi="Arial" w:cs="Arial" w:eastAsia="Arial"/>
          <w:b w:val="0"/>
          <w:sz w:val="22"/>
          <w:rtl/>
          <w:szCs w:val="22"/>
        </w:rPr>
        <w:t>2.1 היעד הוא 10,000 דולר ארה"ב. לא פחות ולא יותר.</w:t>
      </w:r>
    </w:p>
    <w:p>
      <w:pPr>
        <w:bidi w:val="1"/>
        <w:spacing w:before="0" w:after="80" w:line="269" w:lineRule="auto"/>
        <w:jc w:val="right"/>
      </w:pPr>
      <w:r>
        <w:rPr>
          <w:rFonts w:ascii="Arial" w:hAnsi="Arial" w:cs="Arial" w:eastAsia="Arial"/>
          <w:b w:val="0"/>
          <w:sz w:val="22"/>
          <w:rtl/>
          <w:szCs w:val="22"/>
        </w:rPr>
        <w:t>2.2 תקבול ברוטו הוא סכום שנגבה בפועל מתומך שהוא צד שלישי, באמצעות עמוד הקמפיין באתר Ko-fi בלבד. אין לכלול בסעיף זה את כל אלה:</w:t>
      </w:r>
    </w:p>
    <w:p>
      <w:pPr>
        <w:bidi w:val="1"/>
        <w:spacing w:before="0" w:after="40" w:line="269" w:lineRule="auto"/>
        <w:jc w:val="right"/>
      </w:pPr>
      <w:r>
        <w:rPr>
          <w:rFonts w:ascii="Arial" w:hAnsi="Arial" w:cs="Arial" w:eastAsia="Arial"/>
          <w:b w:val="0"/>
          <w:sz w:val="22"/>
          <w:rtl/>
          <w:szCs w:val="22"/>
        </w:rPr>
        <w:t>•  התחייבות שלא חויבה, בוטלה או נכשלה.</w:t>
      </w:r>
    </w:p>
    <w:p>
      <w:pPr>
        <w:bidi w:val="1"/>
        <w:spacing w:before="0" w:after="40" w:line="269" w:lineRule="auto"/>
        <w:jc w:val="right"/>
      </w:pPr>
      <w:r>
        <w:rPr>
          <w:rFonts w:ascii="Arial" w:hAnsi="Arial" w:cs="Arial" w:eastAsia="Arial"/>
          <w:b w:val="0"/>
          <w:sz w:val="22"/>
          <w:rtl/>
          <w:szCs w:val="22"/>
        </w:rPr>
        <w:t>•  החזר כספי או ביטול חיוב, בכל שלב, גם אחרי מועד הסגירה.</w:t>
      </w:r>
    </w:p>
    <w:p>
      <w:pPr>
        <w:bidi w:val="1"/>
        <w:spacing w:before="0" w:after="40" w:line="269" w:lineRule="auto"/>
        <w:jc w:val="right"/>
      </w:pPr>
      <w:r>
        <w:rPr>
          <w:rFonts w:ascii="Arial" w:hAnsi="Arial" w:cs="Arial" w:eastAsia="Arial"/>
          <w:b w:val="0"/>
          <w:sz w:val="22"/>
          <w:rtl/>
          <w:szCs w:val="22"/>
        </w:rPr>
        <w:t>•  כסף שהכניס המזמין, מייסד, בן משפחה מדרגה ראשונה שלהם, או תאגיד בשליטתם.</w:t>
      </w:r>
    </w:p>
    <w:p>
      <w:pPr>
        <w:bidi w:val="1"/>
        <w:spacing w:before="0" w:after="40" w:line="269" w:lineRule="auto"/>
        <w:jc w:val="right"/>
      </w:pPr>
      <w:r>
        <w:rPr>
          <w:rFonts w:ascii="Arial" w:hAnsi="Arial" w:cs="Arial" w:eastAsia="Arial"/>
          <w:b w:val="0"/>
          <w:sz w:val="22"/>
          <w:rtl/>
          <w:szCs w:val="22"/>
        </w:rPr>
        <w:t>•  מענק, הלוואה, השקעה פרטית, או הכנסה שאינה מהקמפיין.</w:t>
      </w:r>
    </w:p>
    <w:p>
      <w:pPr>
        <w:bidi w:val="1"/>
        <w:spacing w:before="0" w:after="40" w:line="269" w:lineRule="auto"/>
        <w:jc w:val="right"/>
      </w:pPr>
      <w:r>
        <w:rPr>
          <w:rFonts w:ascii="Arial" w:hAnsi="Arial" w:cs="Arial" w:eastAsia="Arial"/>
          <w:b w:val="0"/>
          <w:sz w:val="22"/>
          <w:rtl/>
          <w:szCs w:val="22"/>
        </w:rPr>
        <w:t>•  סכום שנותן השירות עצמו שילם ל-Ko-fi או לתומך.</w:t>
      </w:r>
    </w:p>
    <w:p>
      <w:pPr>
        <w:bidi w:val="1"/>
        <w:spacing w:before="0" w:after="40" w:line="269" w:lineRule="auto"/>
        <w:jc w:val="right"/>
      </w:pPr>
      <w:r>
        <w:rPr>
          <w:rFonts w:ascii="Arial" w:hAnsi="Arial" w:cs="Arial" w:eastAsia="Arial"/>
          <w:b w:val="0"/>
          <w:sz w:val="22"/>
          <w:rtl/>
          <w:szCs w:val="22"/>
        </w:rPr>
        <w:t>•  מכירה, מנוי, או כל הכנסה של אפליקציית Failrail אחרי הקמפיין.</w:t>
      </w:r>
    </w:p>
    <w:p>
      <w:pPr>
        <w:bidi w:val="1"/>
        <w:spacing w:before="0" w:after="80" w:line="269" w:lineRule="auto"/>
        <w:jc w:val="right"/>
      </w:pPr>
      <w:r>
        <w:rPr>
          <w:rFonts w:ascii="Arial" w:hAnsi="Arial" w:cs="Arial" w:eastAsia="Arial"/>
          <w:b w:val="0"/>
          <w:sz w:val="22"/>
          <w:rtl/>
          <w:szCs w:val="22"/>
        </w:rPr>
        <w:t>2.3 עמלות וניכויים הם כל סכום שאינו מגיע לחשבון הבנק של המזמין. בכלל זה, בלי לגרוע: עמלת Ko-fi, עמלת סליקה, עמלת PayPal או Stripe או כל סולק אחר, המרת מטבע, עמלת משיכה, עתודה שטרם שוחררה, החזר, עמלה על החזר, קנס של הפלטפורמה, מס שנוכה במקור על ידי הפלטפורמה, והפרש שער שירד בפועל עד הזיכוי.</w:t>
      </w:r>
    </w:p>
    <w:p>
      <w:pPr>
        <w:bidi w:val="1"/>
        <w:spacing w:before="0" w:after="80" w:line="269" w:lineRule="auto"/>
        <w:jc w:val="right"/>
      </w:pPr>
      <w:r>
        <w:rPr>
          <w:rFonts w:ascii="Arial" w:hAnsi="Arial" w:cs="Arial" w:eastAsia="Arial"/>
          <w:b w:val="0"/>
          <w:sz w:val="22"/>
          <w:rtl/>
          <w:szCs w:val="22"/>
        </w:rPr>
        <w:t>2.4 תקבול נטו הוא תקבול ברוטו פחות עמלות וניכויים, ורק סכום שנזקף בפועל לחשבון בנק על שם המזמין. כסף שטרם שוחרר, שמוחזק כעתודה, או שמוצג במד אך לא התקבל, אינו תקבול נטו. אם אחרי התשלום חויב המזמין בהחזר, התקבול נטו יחושב מחדש כלפי מטה.</w:t>
      </w:r>
    </w:p>
    <w:p>
      <w:pPr>
        <w:bidi w:val="1"/>
        <w:spacing w:before="0" w:after="80" w:line="269" w:lineRule="auto"/>
        <w:jc w:val="right"/>
      </w:pPr>
      <w:r>
        <w:rPr>
          <w:rFonts w:ascii="Arial" w:hAnsi="Arial" w:cs="Arial" w:eastAsia="Arial"/>
          <w:b w:val="0"/>
          <w:sz w:val="22"/>
          <w:rtl/>
          <w:szCs w:val="22"/>
        </w:rPr>
        <w:t>2.5 מועד הסגירה הוא המועד שבו Ko-fi שחרר את הסכום הסופי למזמין. אם השחרור נעשה בחלקים, זה המועד שבו שוחרר החלק האחרון בגין הקמפיין, ולא יאוחר מ-60 ימים מסיום הקמפיין, לפי המוקדם לעניין עריכת החשבון. עתודה שעדיין מוחזקת לא תיכנס לחשבון עד שתשוחרר בפועל, ואז ייערך תחשיב משלים רק על מה ששוחרר.</w:t>
      </w:r>
    </w:p>
    <w:p>
      <w:pPr>
        <w:bidi w:val="1"/>
        <w:spacing w:before="0" w:after="80" w:line="269" w:lineRule="auto"/>
        <w:jc w:val="right"/>
      </w:pPr>
      <w:r>
        <w:rPr>
          <w:rFonts w:ascii="Arial" w:hAnsi="Arial" w:cs="Arial" w:eastAsia="Arial"/>
          <w:b w:val="0"/>
          <w:sz w:val="22"/>
          <w:rtl/>
          <w:szCs w:val="22"/>
        </w:rPr>
        <w:t>2.6 הגעה ליעד היא תקבול ברוטו של 10,000 דולר או יותר. מד ההתקדמות באתר Ko-fi, צילום מסך, ניסוח בפרסום, או אמירה שהיעד כמעט הושג, אינם הגעה ליעד.</w:t>
      </w:r>
    </w:p>
    <w:p>
      <w:pPr>
        <w:bidi w:val="1"/>
        <w:spacing w:before="0" w:after="80" w:line="269" w:lineRule="auto"/>
        <w:jc w:val="right"/>
      </w:pPr>
      <w:r>
        <w:rPr>
          <w:rFonts w:ascii="Arial" w:hAnsi="Arial" w:cs="Arial" w:eastAsia="Arial"/>
          <w:b w:val="0"/>
          <w:sz w:val="22"/>
          <w:rtl/>
          <w:szCs w:val="22"/>
        </w:rPr>
        <w:t>2.7 אם הכסף נזקף בשקלים או במטבע שאינו דולר, יומרו הסכומים לדולר לפי השער היציג של בנק ישראל ביום הזיכוי בפועל. היעד, הנטו המיוחס והתקרה נשארים בדולר. לא ייעשה שימוש בשער אחר.</w:t>
      </w:r>
    </w:p>
    <w:p>
      <w:pPr>
        <w:bidi w:val="1"/>
        <w:spacing w:before="0" w:after="80" w:line="269" w:lineRule="auto"/>
        <w:jc w:val="right"/>
      </w:pPr>
      <w:r>
        <w:rPr>
          <w:rFonts w:ascii="Arial" w:hAnsi="Arial" w:cs="Arial" w:eastAsia="Arial"/>
          <w:b w:val="0"/>
          <w:sz w:val="22"/>
          <w:rtl/>
          <w:szCs w:val="22"/>
        </w:rPr>
        <w:t>2.8 תקופת הקמפיין מתחילה בתאריך העלייה שבנספח א, ואם לא נרשם תאריך, ביום הפרסום הראשון. היא מסתיימת בתאריך הסיום שבנספח א, או במועד הודעת המזמין על סיום, לפי המוקדם.</w:t>
      </w:r>
    </w:p>
    <w:p>
      <w:pPr>
        <w:bidi w:val="1"/>
        <w:spacing w:before="200" w:after="80" w:line="269" w:lineRule="auto"/>
        <w:jc w:val="right"/>
      </w:pPr>
      <w:r>
        <w:rPr>
          <w:rFonts w:ascii="Arial" w:hAnsi="Arial" w:cs="Arial" w:eastAsia="Arial"/>
          <w:b/>
          <w:color w:val="1E2A3E"/>
          <w:sz w:val="28"/>
          <w:rtl/>
          <w:szCs w:val="28"/>
        </w:rPr>
        <w:t>3. השירות</w:t>
      </w:r>
    </w:p>
    <w:p>
      <w:pPr>
        <w:bidi w:val="1"/>
        <w:spacing w:before="0" w:after="80" w:line="269" w:lineRule="auto"/>
        <w:jc w:val="right"/>
      </w:pPr>
      <w:r>
        <w:rPr>
          <w:rFonts w:ascii="Arial" w:hAnsi="Arial" w:cs="Arial" w:eastAsia="Arial"/>
          <w:b w:val="0"/>
          <w:sz w:val="22"/>
          <w:rtl/>
          <w:szCs w:val="22"/>
        </w:rPr>
        <w:t>3.1 נותן השירות יקדם את הקמפיין בתקופת הקמפיין באינסטגרם, בטיקטוק, בפייסבוק, ובכל רשת חברתית או מדיה דיגיטלית נוספת שבה יפרסם, לרבות פוסט, סטורי, ריל, סרטון קצר, שידור ותגובה. ריבוי ערוצים אינו יוצר עמלה נוספת ואינו מרחיב את בסיס החישוב.</w:t>
      </w:r>
    </w:p>
    <w:p>
      <w:pPr>
        <w:bidi w:val="1"/>
        <w:spacing w:before="0" w:after="80" w:line="269" w:lineRule="auto"/>
        <w:jc w:val="right"/>
      </w:pPr>
      <w:r>
        <w:rPr>
          <w:rFonts w:ascii="Arial" w:hAnsi="Arial" w:cs="Arial" w:eastAsia="Arial"/>
          <w:b w:val="0"/>
          <w:sz w:val="22"/>
          <w:rtl/>
          <w:szCs w:val="22"/>
        </w:rPr>
        <w:t>3.2 השירות כולל תכנון מסרים, פרסום, ומענה בסיסי לפניות שנובעות מהפרסום, והכול כפי שיוסכם מראש עם המזמין.</w:t>
      </w:r>
    </w:p>
    <w:p>
      <w:pPr>
        <w:bidi w:val="1"/>
        <w:spacing w:before="0" w:after="80" w:line="269" w:lineRule="auto"/>
        <w:jc w:val="right"/>
      </w:pPr>
      <w:r>
        <w:rPr>
          <w:rFonts w:ascii="Arial" w:hAnsi="Arial" w:cs="Arial" w:eastAsia="Arial"/>
          <w:b w:val="0"/>
          <w:sz w:val="22"/>
          <w:rtl/>
          <w:szCs w:val="22"/>
        </w:rPr>
        <w:t>3.3 כל פרסום שמזכיר מספר, סכום שגויס, תשואה, רווח, סיכון, מילה שמבטיחה תוצאה, מועד השקה, או מה מקבל התומך, יפורסם רק אחרי אישור המזמין בכתב. אין לפרסם טיוטה, ואין לשנות נוסח שאושר בלי אישור חדש.</w:t>
      </w:r>
    </w:p>
    <w:p>
      <w:pPr>
        <w:bidi w:val="1"/>
        <w:spacing w:before="0" w:after="80" w:line="269" w:lineRule="auto"/>
        <w:jc w:val="right"/>
      </w:pPr>
      <w:r>
        <w:rPr>
          <w:rFonts w:ascii="Arial" w:hAnsi="Arial" w:cs="Arial" w:eastAsia="Arial"/>
          <w:b w:val="0"/>
          <w:sz w:val="22"/>
          <w:rtl/>
          <w:szCs w:val="22"/>
        </w:rPr>
        <w:t>3.4 מותר לתאר את Failrail כאפליקציה לניהול תיק במסחר ספוט בבורסת Binance, ואת הקמפיין כתמיכה בשחרור גרסת הבטא, כל עוד לא אושר נוסח אחר בכתב. אסור לתאר את התמיכה כהשקעה, כמניה, כשותפות, כאסימון או כזכות לרווחי Failrail. אסור להבטיח רווח, תשואה או שמירת קרן, ואסור להבטיח שהבטא תצא בתאריך מסוים, אלא אם המזמין אישר את המשפט המדויק בכתב.</w:t>
      </w:r>
    </w:p>
    <w:p>
      <w:pPr>
        <w:bidi w:val="1"/>
        <w:spacing w:before="0" w:after="80" w:line="269" w:lineRule="auto"/>
        <w:jc w:val="right"/>
      </w:pPr>
      <w:r>
        <w:rPr>
          <w:rFonts w:ascii="Arial" w:hAnsi="Arial" w:cs="Arial" w:eastAsia="Arial"/>
          <w:b w:val="0"/>
          <w:sz w:val="22"/>
          <w:rtl/>
          <w:szCs w:val="22"/>
        </w:rPr>
        <w:t>3.5 הטבה לתומך, אם תהיה, לרבות גישה לבטא, תיקבע בידי המזמין בלבד.</w:t>
      </w:r>
    </w:p>
    <w:p>
      <w:pPr>
        <w:bidi w:val="1"/>
        <w:spacing w:before="0" w:after="80" w:line="269" w:lineRule="auto"/>
        <w:jc w:val="right"/>
      </w:pPr>
      <w:r>
        <w:rPr>
          <w:rFonts w:ascii="Arial" w:hAnsi="Arial" w:cs="Arial" w:eastAsia="Arial"/>
          <w:b w:val="0"/>
          <w:sz w:val="22"/>
          <w:rtl/>
          <w:szCs w:val="22"/>
        </w:rPr>
        <w:t>3.6 אין לנותן השירות הרשאה לקבל כסף מתומכים, לחתום בשם המזמין, לפתוח את עמוד Ko-fi על שמו עבור הקמפיין, או לחייב את המזמין. כל התשלום עובר מ-Ko-fi למזמין בלבד.</w:t>
      </w:r>
    </w:p>
    <w:p>
      <w:pPr>
        <w:bidi w:val="1"/>
        <w:spacing w:before="0" w:after="80" w:line="269" w:lineRule="auto"/>
        <w:jc w:val="right"/>
      </w:pPr>
      <w:r>
        <w:rPr>
          <w:rFonts w:ascii="Arial" w:hAnsi="Arial" w:cs="Arial" w:eastAsia="Arial"/>
          <w:b w:val="0"/>
          <w:sz w:val="22"/>
          <w:rtl/>
          <w:szCs w:val="22"/>
        </w:rPr>
        <w:t>3.7 ההסכם חל על הקמפיין שבנספח א בלבד. אין עמלה על קמפיין אחר, על מכירות האפליקציה, על מנוי, על עמלות מסחר, על אסימון, או על גיוס עתידי, אלא אם ייחתם על כך נספח חדש.</w:t>
      </w:r>
    </w:p>
    <w:p>
      <w:pPr>
        <w:bidi w:val="1"/>
        <w:spacing w:before="0" w:after="80" w:line="269" w:lineRule="auto"/>
        <w:jc w:val="right"/>
      </w:pPr>
      <w:r>
        <w:rPr>
          <w:rFonts w:ascii="Arial" w:hAnsi="Arial" w:cs="Arial" w:eastAsia="Arial"/>
          <w:b w:val="0"/>
          <w:sz w:val="22"/>
          <w:rtl/>
          <w:szCs w:val="22"/>
        </w:rPr>
        <w:t>3.8 נותן השירות לא ירכוש עוקבים, לייקים, צפיות, תגובות או תנועה מלאכותית, ולא יציג אותם כתוצאה של הקמפיין.</w:t>
      </w:r>
    </w:p>
    <w:p>
      <w:pPr>
        <w:bidi w:val="1"/>
        <w:spacing w:before="0" w:after="80" w:line="269" w:lineRule="auto"/>
        <w:jc w:val="right"/>
      </w:pPr>
      <w:r>
        <w:rPr>
          <w:rFonts w:ascii="Arial" w:hAnsi="Arial" w:cs="Arial" w:eastAsia="Arial"/>
          <w:b w:val="0"/>
          <w:sz w:val="22"/>
          <w:rtl/>
          <w:szCs w:val="22"/>
        </w:rPr>
        <w:t>3.9 בתקופת הקמפיין לא יקדם נותן השירות קמפיין גיוס של מוצר מתחרה לניהול תיק בבורסה. אין בכך הגבלת עיסוק אחרי תום הקמפיין.</w:t>
      </w:r>
    </w:p>
    <w:p>
      <w:pPr>
        <w:bidi w:val="1"/>
        <w:spacing w:before="200" w:after="80" w:line="269" w:lineRule="auto"/>
        <w:jc w:val="right"/>
      </w:pPr>
      <w:r>
        <w:rPr>
          <w:rFonts w:ascii="Arial" w:hAnsi="Arial" w:cs="Arial" w:eastAsia="Arial"/>
          <w:b/>
          <w:color w:val="1E2A3E"/>
          <w:sz w:val="28"/>
          <w:rtl/>
          <w:szCs w:val="28"/>
        </w:rPr>
        <w:t>4. העמלה. זה החישוב הממצה</w:t>
      </w:r>
    </w:p>
    <w:p>
      <w:pPr>
        <w:bidi w:val="1"/>
        <w:spacing w:before="0" w:after="80" w:line="269" w:lineRule="auto"/>
        <w:jc w:val="right"/>
      </w:pPr>
      <w:r>
        <w:rPr>
          <w:rFonts w:ascii="Arial" w:hAnsi="Arial" w:cs="Arial" w:eastAsia="Arial"/>
          <w:b w:val="0"/>
          <w:sz w:val="22"/>
          <w:rtl/>
          <w:szCs w:val="22"/>
        </w:rPr>
        <w:t>זה הסעיף היחיד שקובע כמה כסף מגיע. אין עמלה אחרת, אין מקדמה, אין ריטיינר, ואין תשלום על חשיפות, לייקים, עוקבים או על הבטחה שהיעד יושג.</w:t>
      </w:r>
    </w:p>
    <w:p>
      <w:pPr>
        <w:bidi w:val="1"/>
        <w:spacing w:before="20" w:after="20" w:line="269" w:lineRule="auto"/>
        <w:jc w:val="right"/>
      </w:pPr>
      <w:r>
        <w:rPr>
          <w:rFonts w:ascii="Arial" w:hAnsi="Arial" w:cs="Arial" w:eastAsia="Arial"/>
          <w:b/>
          <w:color w:val="1E2A3E"/>
          <w:sz w:val="22"/>
          <w:rtl/>
          <w:szCs w:val="22"/>
        </w:rPr>
        <w:t>אם הברוטו נמוך מ-10,000 דולר: 5% מהנטו שנכנס לבנק. אם לא נכנס כלום: 0.</w:t>
      </w:r>
    </w:p>
    <w:p>
      <w:pPr>
        <w:bidi w:val="1"/>
        <w:spacing w:before="0" w:after="20" w:line="269" w:lineRule="auto"/>
        <w:jc w:val="right"/>
      </w:pPr>
      <w:r>
        <w:rPr>
          <w:rFonts w:ascii="Arial" w:hAnsi="Arial" w:cs="Arial" w:eastAsia="Arial"/>
          <w:b/>
          <w:color w:val="1E2A3E"/>
          <w:sz w:val="22"/>
          <w:rtl/>
          <w:szCs w:val="22"/>
        </w:rPr>
        <w:t>אם הברוטו הוא 10,000 דולר או יותר: 10% רק מהנטו שמיוחס ל-10,000 הדולר הראשונים.</w:t>
      </w:r>
    </w:p>
    <w:p>
      <w:pPr>
        <w:bidi w:val="1"/>
        <w:spacing w:before="0" w:after="20" w:line="269" w:lineRule="auto"/>
        <w:jc w:val="right"/>
      </w:pPr>
      <w:r>
        <w:rPr>
          <w:rFonts w:ascii="Arial" w:hAnsi="Arial" w:cs="Arial" w:eastAsia="Arial"/>
          <w:b/>
          <w:color w:val="1E2A3E"/>
          <w:sz w:val="22"/>
          <w:rtl/>
          <w:szCs w:val="22"/>
        </w:rPr>
        <w:t>בהגעה ליעד, גם אם החישוב גבוה יותר: לא יותר מ-1,000 דולר לפני מע"מ.</w:t>
      </w:r>
    </w:p>
    <w:p>
      <w:pPr>
        <w:bidi w:val="1"/>
        <w:spacing w:before="0" w:after="80" w:line="269" w:lineRule="auto"/>
        <w:jc w:val="right"/>
      </w:pPr>
      <w:r>
        <w:rPr>
          <w:rFonts w:ascii="Arial" w:hAnsi="Arial" w:cs="Arial" w:eastAsia="Arial"/>
          <w:b w:val="0"/>
          <w:sz w:val="22"/>
          <w:rtl/>
          <w:szCs w:val="22"/>
        </w:rPr>
        <w:t>4.1 אם לא הגיעו ליעד, כלומר תקבול הברוטו נמוך מ-10,000 דולר, העמלה שווה לחמישה אחוזים מתקבול הנטו. Ko-fi עשוי לשחרר כסף גם כשהיעד לא הושג. במקרה כזה חל סעיף זה, על הנטו שנזקף בפועל, ולא שיעור של עשרה אחוזים. אם לא נזקף כל סכום לחשבון המזמין, תקבול הנטו הוא אפס והעמלה היא אפס.</w:t>
      </w:r>
    </w:p>
    <w:p>
      <w:pPr>
        <w:bidi w:val="1"/>
        <w:spacing w:before="0" w:after="80" w:line="269" w:lineRule="auto"/>
        <w:jc w:val="right"/>
      </w:pPr>
      <w:r>
        <w:rPr>
          <w:rFonts w:ascii="Arial" w:hAnsi="Arial" w:cs="Arial" w:eastAsia="Arial"/>
          <w:b w:val="0"/>
          <w:sz w:val="22"/>
          <w:rtl/>
          <w:szCs w:val="22"/>
        </w:rPr>
        <w:t>4.2 אם הגיעו ליעד או עברו אותו, כלומר תקבול הברוטו הוא 10,000 דולר או יותר, נותן השירות אינו זכאי לאחוז מכל הסכום שגויס. מחשבים קודם רק את חלק הנטו שמיוחס ל-10,000 הדולר הראשונים. הנטו המיוחס שווה לתקבול הנטו כפול 10,000, לחלק לתקבול הברוטו. העמלה שווה לעשרה אחוזים מהנטו המיוחס. כל דולר מעל 10,000 דולר ברוטו אינו נכנס לבסיס העמלה. נותן השירות אינו שותף בעודף.</w:t>
      </w:r>
    </w:p>
    <w:p>
      <w:pPr>
        <w:bidi w:val="1"/>
        <w:spacing w:before="0" w:after="80" w:line="269" w:lineRule="auto"/>
        <w:jc w:val="right"/>
      </w:pPr>
      <w:r>
        <w:rPr>
          <w:rFonts w:ascii="Arial" w:hAnsi="Arial" w:cs="Arial" w:eastAsia="Arial"/>
          <w:b w:val="0"/>
          <w:sz w:val="22"/>
          <w:rtl/>
          <w:szCs w:val="22"/>
        </w:rPr>
        <w:t>4.3 תקרה. גם אם לפי חישוב כלשהו יוצא יותר, העמלה בהגעה ליעד לא תעלה על 1,000 דולר ארה"ב לפני מע"מ. זו תקרה, לא סכום מובטח.</w:t>
      </w:r>
    </w:p>
    <w:p>
      <w:pPr>
        <w:bidi w:val="1"/>
        <w:spacing w:before="0" w:after="80" w:line="269" w:lineRule="auto"/>
        <w:jc w:val="right"/>
      </w:pPr>
      <w:r>
        <w:rPr>
          <w:rFonts w:ascii="Arial" w:hAnsi="Arial" w:cs="Arial" w:eastAsia="Arial"/>
          <w:b w:val="0"/>
          <w:sz w:val="22"/>
          <w:rtl/>
          <w:szCs w:val="22"/>
        </w:rPr>
        <w:t>4.4 אי-הגעה ליעד אינה קופצת לעשרה אחוזים. אין עיגול ליעד. כסף שהמזמין הוסיף מכיסו כדי לחצות את היעד אינו תקבול ברוטו. מאמץ, שעות או איכות הסרטונים אינם מעלים את השיעור לעשרה אחוזים.</w:t>
      </w:r>
    </w:p>
    <w:p>
      <w:pPr>
        <w:bidi w:val="1"/>
        <w:spacing w:before="0" w:after="80" w:line="269" w:lineRule="auto"/>
        <w:jc w:val="right"/>
      </w:pPr>
      <w:r>
        <w:rPr>
          <w:rFonts w:ascii="Arial" w:hAnsi="Arial" w:cs="Arial" w:eastAsia="Arial"/>
          <w:b w:val="0"/>
          <w:sz w:val="22"/>
          <w:rtl/>
          <w:szCs w:val="22"/>
        </w:rPr>
        <w:t>4.5 העמלה מחושבת פעם אחת, על המצטבר, במועד הסגירה. אין עמלה כפולה על אותו דולר. שחרור עתודה מאוחר יותר יתווסף רק לסכום ששוחרר בפועל, לפי אותה נוסחה, בניכוי מה שכבר שולם.</w:t>
      </w:r>
    </w:p>
    <w:p>
      <w:pPr>
        <w:bidi w:val="1"/>
        <w:spacing w:before="0" w:after="80" w:line="269" w:lineRule="auto"/>
        <w:jc w:val="right"/>
      </w:pPr>
      <w:r>
        <w:rPr>
          <w:rFonts w:ascii="Arial" w:hAnsi="Arial" w:cs="Arial" w:eastAsia="Arial"/>
          <w:b w:val="0"/>
          <w:sz w:val="22"/>
          <w:rtl/>
          <w:szCs w:val="22"/>
        </w:rPr>
        <w:t>4.6 הדוגמאות שלהלן מחייבות לעניין הכוונה. עמלות הפלטפורמה שבדוגמאות הן להמחשה בלבד. הקובע הוא הנטו שנזקף בפועל.</w:t>
      </w:r>
    </w:p>
    <w:tbl>
      <w:tblPr>
        <w:tblStyle w:val="TableGrid"/>
        <w:tblW w:type="auto" w:w="0"/>
        <w:tblLayout w:type="autofit"/>
        <w:tblLook w:firstColumn="1" w:firstRow="1" w:lastColumn="0" w:lastRow="0" w:noHBand="0" w:noVBand="1" w:val="04A0"/>
        <w:bidiVisual w:val="1"/>
      </w:tblPr>
      <w:tblGrid>
        <w:gridCol w:w="2494"/>
        <w:gridCol w:w="2494"/>
        <w:gridCol w:w="2494"/>
        <w:gridCol w:w="2494"/>
      </w:tblGrid>
      <w:tr>
        <w:trPr>
          <w:cantSplit/>
        </w:trPr>
        <w:tc>
          <w:tcPr>
            <w:tcW w:type="dxa" w:w="2494"/>
            <w:tcMar>
              <w:top w:w="60" w:type="dxa"/>
              <w:bottom w:w="60" w:type="dxa"/>
              <w:right w:w="80" w:type="dxa"/>
              <w:left w:w="80" w:type="dxa"/>
            </w:tcMar>
            <w:shd w:fill="1E2A3E" w:val="clear"/>
          </w:tcPr>
          <w:p>
            <w:pPr>
              <w:bidi w:val="1"/>
              <w:spacing w:before="20" w:after="40" w:line="269" w:lineRule="auto"/>
              <w:jc w:val="right"/>
            </w:pPr>
            <w:r/>
            <w:r>
              <w:rPr>
                <w:rFonts w:ascii="Arial" w:hAnsi="Arial" w:cs="Arial" w:eastAsia="Arial"/>
                <w:b/>
                <w:color w:val="FFFFFF"/>
                <w:sz w:val="20"/>
                <w:rtl/>
                <w:szCs w:val="20"/>
              </w:rPr>
              <w:t>ברוטו</w:t>
            </w:r>
          </w:p>
        </w:tc>
        <w:tc>
          <w:tcPr>
            <w:tcW w:type="dxa" w:w="2494"/>
            <w:tcMar>
              <w:top w:w="60" w:type="dxa"/>
              <w:bottom w:w="60" w:type="dxa"/>
              <w:right w:w="80" w:type="dxa"/>
              <w:left w:w="80" w:type="dxa"/>
            </w:tcMar>
            <w:shd w:fill="1E2A3E" w:val="clear"/>
          </w:tcPr>
          <w:p>
            <w:pPr>
              <w:bidi w:val="1"/>
              <w:spacing w:before="20" w:after="40" w:line="269" w:lineRule="auto"/>
              <w:jc w:val="right"/>
            </w:pPr>
            <w:r/>
            <w:r>
              <w:rPr>
                <w:rFonts w:ascii="Arial" w:hAnsi="Arial" w:cs="Arial" w:eastAsia="Arial"/>
                <w:b/>
                <w:color w:val="FFFFFF"/>
                <w:sz w:val="20"/>
                <w:rtl/>
                <w:szCs w:val="20"/>
              </w:rPr>
              <w:t>נטו בחשבון</w:t>
            </w:r>
          </w:p>
        </w:tc>
        <w:tc>
          <w:tcPr>
            <w:tcW w:type="dxa" w:w="2494"/>
            <w:tcMar>
              <w:top w:w="60" w:type="dxa"/>
              <w:bottom w:w="60" w:type="dxa"/>
              <w:right w:w="80" w:type="dxa"/>
              <w:left w:w="80" w:type="dxa"/>
            </w:tcMar>
            <w:shd w:fill="1E2A3E" w:val="clear"/>
          </w:tcPr>
          <w:p>
            <w:pPr>
              <w:bidi w:val="1"/>
              <w:spacing w:before="20" w:after="40" w:line="269" w:lineRule="auto"/>
              <w:jc w:val="right"/>
            </w:pPr>
            <w:r/>
            <w:r>
              <w:rPr>
                <w:rFonts w:ascii="Arial" w:hAnsi="Arial" w:cs="Arial" w:eastAsia="Arial"/>
                <w:b/>
                <w:color w:val="FFFFFF"/>
                <w:sz w:val="20"/>
                <w:rtl/>
                <w:szCs w:val="20"/>
              </w:rPr>
              <w:t>מה קרה</w:t>
            </w:r>
          </w:p>
        </w:tc>
        <w:tc>
          <w:tcPr>
            <w:tcW w:type="dxa" w:w="2494"/>
            <w:tcMar>
              <w:top w:w="60" w:type="dxa"/>
              <w:bottom w:w="60" w:type="dxa"/>
              <w:right w:w="80" w:type="dxa"/>
              <w:left w:w="80" w:type="dxa"/>
            </w:tcMar>
            <w:shd w:fill="1E2A3E" w:val="clear"/>
          </w:tcPr>
          <w:p>
            <w:pPr>
              <w:bidi w:val="1"/>
              <w:spacing w:before="20" w:after="40" w:line="269" w:lineRule="auto"/>
              <w:jc w:val="right"/>
            </w:pPr>
            <w:r/>
            <w:r>
              <w:rPr>
                <w:rFonts w:ascii="Arial" w:hAnsi="Arial" w:cs="Arial" w:eastAsia="Arial"/>
                <w:b/>
                <w:color w:val="FFFFFF"/>
                <w:sz w:val="20"/>
                <w:rtl/>
                <w:szCs w:val="20"/>
              </w:rPr>
              <w:t>העמלה</w:t>
            </w:r>
          </w:p>
        </w:tc>
      </w:tr>
      <w:tr>
        <w:trPr>
          <w:cantSplit/>
        </w:trPr>
        <w:tc>
          <w:tcPr>
            <w:tcW w:type="dxa" w:w="2494"/>
            <w:tcMar>
              <w:top w:w="60" w:type="dxa"/>
              <w:bottom w:w="60" w:type="dxa"/>
              <w:right w:w="80" w:type="dxa"/>
              <w:left w:w="80" w:type="dxa"/>
            </w:tcMar>
            <w:shd w:fill="F4F6F8" w:val="clear"/>
          </w:tcPr>
          <w:p>
            <w:pPr>
              <w:bidi w:val="1"/>
              <w:spacing w:before="20" w:after="40" w:line="269" w:lineRule="auto"/>
              <w:jc w:val="right"/>
            </w:pPr>
            <w:r/>
            <w:r>
              <w:rPr>
                <w:rFonts w:ascii="Arial" w:hAnsi="Arial" w:cs="Arial" w:eastAsia="Arial"/>
                <w:b w:val="0"/>
                <w:sz w:val="20"/>
                <w:rtl/>
                <w:szCs w:val="20"/>
              </w:rPr>
              <w:t>8,000 דולר</w:t>
            </w:r>
          </w:p>
        </w:tc>
        <w:tc>
          <w:tcPr>
            <w:tcW w:type="dxa" w:w="2494"/>
            <w:tcMar>
              <w:top w:w="60" w:type="dxa"/>
              <w:bottom w:w="60" w:type="dxa"/>
              <w:right w:w="80" w:type="dxa"/>
              <w:left w:w="80" w:type="dxa"/>
            </w:tcMar>
            <w:shd w:fill="F4F6F8" w:val="clear"/>
          </w:tcPr>
          <w:p>
            <w:pPr>
              <w:bidi w:val="1"/>
              <w:spacing w:before="20" w:after="40" w:line="269" w:lineRule="auto"/>
              <w:jc w:val="right"/>
            </w:pPr>
            <w:r/>
            <w:r>
              <w:rPr>
                <w:rFonts w:ascii="Arial" w:hAnsi="Arial" w:cs="Arial" w:eastAsia="Arial"/>
                <w:b w:val="0"/>
                <w:sz w:val="20"/>
                <w:rtl/>
                <w:szCs w:val="20"/>
              </w:rPr>
              <w:t>7,360 דולר</w:t>
            </w:r>
          </w:p>
        </w:tc>
        <w:tc>
          <w:tcPr>
            <w:tcW w:type="dxa" w:w="2494"/>
            <w:tcMar>
              <w:top w:w="60" w:type="dxa"/>
              <w:bottom w:w="60" w:type="dxa"/>
              <w:right w:w="80" w:type="dxa"/>
              <w:left w:w="80" w:type="dxa"/>
            </w:tcMar>
            <w:shd w:fill="F4F6F8" w:val="clear"/>
          </w:tcPr>
          <w:p>
            <w:pPr>
              <w:bidi w:val="1"/>
              <w:spacing w:before="20" w:after="40" w:line="269" w:lineRule="auto"/>
              <w:jc w:val="right"/>
            </w:pPr>
            <w:r/>
            <w:r>
              <w:rPr>
                <w:rFonts w:ascii="Arial" w:hAnsi="Arial" w:cs="Arial" w:eastAsia="Arial"/>
                <w:b w:val="0"/>
                <w:sz w:val="20"/>
                <w:rtl/>
                <w:szCs w:val="20"/>
              </w:rPr>
              <w:t>אין יעד. חמישה אחוזים</w:t>
            </w:r>
          </w:p>
        </w:tc>
        <w:tc>
          <w:tcPr>
            <w:tcW w:type="dxa" w:w="2494"/>
            <w:tcMar>
              <w:top w:w="60" w:type="dxa"/>
              <w:bottom w:w="60" w:type="dxa"/>
              <w:right w:w="80" w:type="dxa"/>
              <w:left w:w="80" w:type="dxa"/>
            </w:tcMar>
            <w:shd w:fill="F4F6F8" w:val="clear"/>
          </w:tcPr>
          <w:p>
            <w:pPr>
              <w:bidi w:val="1"/>
              <w:spacing w:before="20" w:after="40" w:line="269" w:lineRule="auto"/>
              <w:jc w:val="right"/>
            </w:pPr>
            <w:r/>
            <w:r>
              <w:rPr>
                <w:rFonts w:ascii="Arial" w:hAnsi="Arial" w:cs="Arial" w:eastAsia="Arial"/>
                <w:b w:val="0"/>
                <w:sz w:val="20"/>
                <w:rtl/>
                <w:szCs w:val="20"/>
              </w:rPr>
              <w:t>368 דולר</w:t>
            </w:r>
          </w:p>
        </w:tc>
      </w:tr>
      <w:tr>
        <w:trPr>
          <w:cantSplit/>
        </w:trPr>
        <w:tc>
          <w:tcPr>
            <w:tcW w:type="dxa" w:w="2494"/>
            <w:tcMar>
              <w:top w:w="60" w:type="dxa"/>
              <w:bottom w:w="60" w:type="dxa"/>
              <w:right w:w="80" w:type="dxa"/>
              <w:left w:w="80" w:type="dxa"/>
            </w:tcMar>
          </w:tcPr>
          <w:p>
            <w:pPr>
              <w:bidi w:val="1"/>
              <w:spacing w:before="20" w:after="40" w:line="269" w:lineRule="auto"/>
              <w:jc w:val="right"/>
            </w:pPr>
            <w:r/>
            <w:r>
              <w:rPr>
                <w:rFonts w:ascii="Arial" w:hAnsi="Arial" w:cs="Arial" w:eastAsia="Arial"/>
                <w:b w:val="0"/>
                <w:sz w:val="20"/>
                <w:rtl/>
                <w:szCs w:val="20"/>
              </w:rPr>
              <w:t>10,000 דולר</w:t>
            </w:r>
          </w:p>
        </w:tc>
        <w:tc>
          <w:tcPr>
            <w:tcW w:type="dxa" w:w="2494"/>
            <w:tcMar>
              <w:top w:w="60" w:type="dxa"/>
              <w:bottom w:w="60" w:type="dxa"/>
              <w:right w:w="80" w:type="dxa"/>
              <w:left w:w="80" w:type="dxa"/>
            </w:tcMar>
          </w:tcPr>
          <w:p>
            <w:pPr>
              <w:bidi w:val="1"/>
              <w:spacing w:before="20" w:after="40" w:line="269" w:lineRule="auto"/>
              <w:jc w:val="right"/>
            </w:pPr>
            <w:r/>
            <w:r>
              <w:rPr>
                <w:rFonts w:ascii="Arial" w:hAnsi="Arial" w:cs="Arial" w:eastAsia="Arial"/>
                <w:b w:val="0"/>
                <w:sz w:val="20"/>
                <w:rtl/>
                <w:szCs w:val="20"/>
              </w:rPr>
              <w:t>9,200 דולר</w:t>
            </w:r>
          </w:p>
        </w:tc>
        <w:tc>
          <w:tcPr>
            <w:tcW w:type="dxa" w:w="2494"/>
            <w:tcMar>
              <w:top w:w="60" w:type="dxa"/>
              <w:bottom w:w="60" w:type="dxa"/>
              <w:right w:w="80" w:type="dxa"/>
              <w:left w:w="80" w:type="dxa"/>
            </w:tcMar>
          </w:tcPr>
          <w:p>
            <w:pPr>
              <w:bidi w:val="1"/>
              <w:spacing w:before="20" w:after="40" w:line="269" w:lineRule="auto"/>
              <w:jc w:val="right"/>
            </w:pPr>
            <w:r/>
            <w:r>
              <w:rPr>
                <w:rFonts w:ascii="Arial" w:hAnsi="Arial" w:cs="Arial" w:eastAsia="Arial"/>
                <w:b w:val="0"/>
                <w:sz w:val="20"/>
                <w:rtl/>
                <w:szCs w:val="20"/>
              </w:rPr>
              <w:t>יש יעד. עשרה אחוזים מהנטו</w:t>
            </w:r>
          </w:p>
        </w:tc>
        <w:tc>
          <w:tcPr>
            <w:tcW w:type="dxa" w:w="2494"/>
            <w:tcMar>
              <w:top w:w="60" w:type="dxa"/>
              <w:bottom w:w="60" w:type="dxa"/>
              <w:right w:w="80" w:type="dxa"/>
              <w:left w:w="80" w:type="dxa"/>
            </w:tcMar>
          </w:tcPr>
          <w:p>
            <w:pPr>
              <w:bidi w:val="1"/>
              <w:spacing w:before="20" w:after="40" w:line="269" w:lineRule="auto"/>
              <w:jc w:val="right"/>
            </w:pPr>
            <w:r/>
            <w:r>
              <w:rPr>
                <w:rFonts w:ascii="Arial" w:hAnsi="Arial" w:cs="Arial" w:eastAsia="Arial"/>
                <w:b w:val="0"/>
                <w:sz w:val="20"/>
                <w:rtl/>
                <w:szCs w:val="20"/>
              </w:rPr>
              <w:t>920 דולר</w:t>
            </w:r>
          </w:p>
        </w:tc>
      </w:tr>
      <w:tr>
        <w:trPr>
          <w:cantSplit/>
        </w:trPr>
        <w:tc>
          <w:tcPr>
            <w:tcW w:type="dxa" w:w="2494"/>
            <w:tcMar>
              <w:top w:w="60" w:type="dxa"/>
              <w:bottom w:w="60" w:type="dxa"/>
              <w:right w:w="80" w:type="dxa"/>
              <w:left w:w="80" w:type="dxa"/>
            </w:tcMar>
            <w:shd w:fill="F4F6F8" w:val="clear"/>
          </w:tcPr>
          <w:p>
            <w:pPr>
              <w:bidi w:val="1"/>
              <w:spacing w:before="20" w:after="40" w:line="269" w:lineRule="auto"/>
              <w:jc w:val="right"/>
            </w:pPr>
            <w:r/>
            <w:r>
              <w:rPr>
                <w:rFonts w:ascii="Arial" w:hAnsi="Arial" w:cs="Arial" w:eastAsia="Arial"/>
                <w:b w:val="0"/>
                <w:sz w:val="20"/>
                <w:rtl/>
                <w:szCs w:val="20"/>
              </w:rPr>
              <w:t>15,000 דולר</w:t>
            </w:r>
          </w:p>
        </w:tc>
        <w:tc>
          <w:tcPr>
            <w:tcW w:type="dxa" w:w="2494"/>
            <w:tcMar>
              <w:top w:w="60" w:type="dxa"/>
              <w:bottom w:w="60" w:type="dxa"/>
              <w:right w:w="80" w:type="dxa"/>
              <w:left w:w="80" w:type="dxa"/>
            </w:tcMar>
            <w:shd w:fill="F4F6F8" w:val="clear"/>
          </w:tcPr>
          <w:p>
            <w:pPr>
              <w:bidi w:val="1"/>
              <w:spacing w:before="20" w:after="40" w:line="269" w:lineRule="auto"/>
              <w:jc w:val="right"/>
            </w:pPr>
            <w:r/>
            <w:r>
              <w:rPr>
                <w:rFonts w:ascii="Arial" w:hAnsi="Arial" w:cs="Arial" w:eastAsia="Arial"/>
                <w:b w:val="0"/>
                <w:sz w:val="20"/>
                <w:rtl/>
                <w:szCs w:val="20"/>
              </w:rPr>
              <w:t>13,800 דולר</w:t>
            </w:r>
          </w:p>
        </w:tc>
        <w:tc>
          <w:tcPr>
            <w:tcW w:type="dxa" w:w="2494"/>
            <w:tcMar>
              <w:top w:w="60" w:type="dxa"/>
              <w:bottom w:w="60" w:type="dxa"/>
              <w:right w:w="80" w:type="dxa"/>
              <w:left w:w="80" w:type="dxa"/>
            </w:tcMar>
            <w:shd w:fill="F4F6F8" w:val="clear"/>
          </w:tcPr>
          <w:p>
            <w:pPr>
              <w:bidi w:val="1"/>
              <w:spacing w:before="20" w:after="40" w:line="269" w:lineRule="auto"/>
              <w:jc w:val="right"/>
            </w:pPr>
            <w:r/>
            <w:r>
              <w:rPr>
                <w:rFonts w:ascii="Arial" w:hAnsi="Arial" w:cs="Arial" w:eastAsia="Arial"/>
                <w:b w:val="0"/>
                <w:sz w:val="20"/>
                <w:rtl/>
                <w:szCs w:val="20"/>
              </w:rPr>
              <w:t>יש יעד. לא על העודף</w:t>
            </w:r>
          </w:p>
        </w:tc>
        <w:tc>
          <w:tcPr>
            <w:tcW w:type="dxa" w:w="2494"/>
            <w:tcMar>
              <w:top w:w="60" w:type="dxa"/>
              <w:bottom w:w="60" w:type="dxa"/>
              <w:right w:w="80" w:type="dxa"/>
              <w:left w:w="80" w:type="dxa"/>
            </w:tcMar>
            <w:shd w:fill="F4F6F8" w:val="clear"/>
          </w:tcPr>
          <w:p>
            <w:pPr>
              <w:bidi w:val="1"/>
              <w:spacing w:before="20" w:after="40" w:line="269" w:lineRule="auto"/>
              <w:jc w:val="right"/>
            </w:pPr>
            <w:r/>
            <w:r>
              <w:rPr>
                <w:rFonts w:ascii="Arial" w:hAnsi="Arial" w:cs="Arial" w:eastAsia="Arial"/>
                <w:b w:val="0"/>
                <w:sz w:val="20"/>
                <w:rtl/>
                <w:szCs w:val="20"/>
              </w:rPr>
              <w:t>920 דולר</w:t>
            </w:r>
          </w:p>
        </w:tc>
      </w:tr>
      <w:tr>
        <w:trPr>
          <w:cantSplit/>
        </w:trPr>
        <w:tc>
          <w:tcPr>
            <w:tcW w:type="dxa" w:w="2494"/>
            <w:tcMar>
              <w:top w:w="60" w:type="dxa"/>
              <w:bottom w:w="60" w:type="dxa"/>
              <w:right w:w="80" w:type="dxa"/>
              <w:left w:w="80" w:type="dxa"/>
            </w:tcMar>
          </w:tcPr>
          <w:p>
            <w:pPr>
              <w:bidi w:val="1"/>
              <w:spacing w:before="20" w:after="40" w:line="269" w:lineRule="auto"/>
              <w:jc w:val="right"/>
            </w:pPr>
            <w:r/>
            <w:r>
              <w:rPr>
                <w:rFonts w:ascii="Arial" w:hAnsi="Arial" w:cs="Arial" w:eastAsia="Arial"/>
                <w:b w:val="0"/>
                <w:sz w:val="20"/>
                <w:rtl/>
                <w:szCs w:val="20"/>
              </w:rPr>
              <w:t>40,000 דולר</w:t>
            </w:r>
          </w:p>
        </w:tc>
        <w:tc>
          <w:tcPr>
            <w:tcW w:type="dxa" w:w="2494"/>
            <w:tcMar>
              <w:top w:w="60" w:type="dxa"/>
              <w:bottom w:w="60" w:type="dxa"/>
              <w:right w:w="80" w:type="dxa"/>
              <w:left w:w="80" w:type="dxa"/>
            </w:tcMar>
          </w:tcPr>
          <w:p>
            <w:pPr>
              <w:bidi w:val="1"/>
              <w:spacing w:before="20" w:after="40" w:line="269" w:lineRule="auto"/>
              <w:jc w:val="right"/>
            </w:pPr>
            <w:r/>
            <w:r>
              <w:rPr>
                <w:rFonts w:ascii="Arial" w:hAnsi="Arial" w:cs="Arial" w:eastAsia="Arial"/>
                <w:b w:val="0"/>
                <w:sz w:val="20"/>
                <w:rtl/>
                <w:szCs w:val="20"/>
              </w:rPr>
              <w:t>38,000 דולר</w:t>
            </w:r>
          </w:p>
        </w:tc>
        <w:tc>
          <w:tcPr>
            <w:tcW w:type="dxa" w:w="2494"/>
            <w:tcMar>
              <w:top w:w="60" w:type="dxa"/>
              <w:bottom w:w="60" w:type="dxa"/>
              <w:right w:w="80" w:type="dxa"/>
              <w:left w:w="80" w:type="dxa"/>
            </w:tcMar>
          </w:tcPr>
          <w:p>
            <w:pPr>
              <w:bidi w:val="1"/>
              <w:spacing w:before="20" w:after="40" w:line="269" w:lineRule="auto"/>
              <w:jc w:val="right"/>
            </w:pPr>
            <w:r/>
            <w:r>
              <w:rPr>
                <w:rFonts w:ascii="Arial" w:hAnsi="Arial" w:cs="Arial" w:eastAsia="Arial"/>
                <w:b w:val="0"/>
                <w:sz w:val="20"/>
                <w:rtl/>
                <w:szCs w:val="20"/>
              </w:rPr>
              <w:t>יש יעד. לא על העודף</w:t>
            </w:r>
          </w:p>
        </w:tc>
        <w:tc>
          <w:tcPr>
            <w:tcW w:type="dxa" w:w="2494"/>
            <w:tcMar>
              <w:top w:w="60" w:type="dxa"/>
              <w:bottom w:w="60" w:type="dxa"/>
              <w:right w:w="80" w:type="dxa"/>
              <w:left w:w="80" w:type="dxa"/>
            </w:tcMar>
          </w:tcPr>
          <w:p>
            <w:pPr>
              <w:bidi w:val="1"/>
              <w:spacing w:before="20" w:after="40" w:line="269" w:lineRule="auto"/>
              <w:jc w:val="right"/>
            </w:pPr>
            <w:r/>
            <w:r>
              <w:rPr>
                <w:rFonts w:ascii="Arial" w:hAnsi="Arial" w:cs="Arial" w:eastAsia="Arial"/>
                <w:b w:val="0"/>
                <w:sz w:val="20"/>
                <w:rtl/>
                <w:szCs w:val="20"/>
              </w:rPr>
              <w:t>950 דולר</w:t>
            </w:r>
          </w:p>
        </w:tc>
      </w:tr>
      <w:tr>
        <w:trPr>
          <w:cantSplit/>
        </w:trPr>
        <w:tc>
          <w:tcPr>
            <w:tcW w:type="dxa" w:w="2494"/>
            <w:tcMar>
              <w:top w:w="60" w:type="dxa"/>
              <w:bottom w:w="60" w:type="dxa"/>
              <w:right w:w="80" w:type="dxa"/>
              <w:left w:w="80" w:type="dxa"/>
            </w:tcMar>
            <w:shd w:fill="F4F6F8" w:val="clear"/>
          </w:tcPr>
          <w:p>
            <w:pPr>
              <w:bidi w:val="1"/>
              <w:spacing w:before="20" w:after="40" w:line="269" w:lineRule="auto"/>
              <w:jc w:val="right"/>
            </w:pPr>
            <w:r/>
            <w:r>
              <w:rPr>
                <w:rFonts w:ascii="Arial" w:hAnsi="Arial" w:cs="Arial" w:eastAsia="Arial"/>
                <w:b w:val="0"/>
                <w:sz w:val="20"/>
                <w:rtl/>
                <w:szCs w:val="20"/>
              </w:rPr>
              <w:t>100,000 דולר</w:t>
            </w:r>
          </w:p>
        </w:tc>
        <w:tc>
          <w:tcPr>
            <w:tcW w:type="dxa" w:w="2494"/>
            <w:tcMar>
              <w:top w:w="60" w:type="dxa"/>
              <w:bottom w:w="60" w:type="dxa"/>
              <w:right w:w="80" w:type="dxa"/>
              <w:left w:w="80" w:type="dxa"/>
            </w:tcMar>
            <w:shd w:fill="F4F6F8" w:val="clear"/>
          </w:tcPr>
          <w:p>
            <w:pPr>
              <w:bidi w:val="1"/>
              <w:spacing w:before="20" w:after="40" w:line="269" w:lineRule="auto"/>
              <w:jc w:val="right"/>
            </w:pPr>
            <w:r/>
            <w:r>
              <w:rPr>
                <w:rFonts w:ascii="Arial" w:hAnsi="Arial" w:cs="Arial" w:eastAsia="Arial"/>
                <w:b w:val="0"/>
                <w:sz w:val="20"/>
                <w:rtl/>
                <w:szCs w:val="20"/>
              </w:rPr>
              <w:t>100,000 דולר</w:t>
            </w:r>
          </w:p>
        </w:tc>
        <w:tc>
          <w:tcPr>
            <w:tcW w:type="dxa" w:w="2494"/>
            <w:tcMar>
              <w:top w:w="60" w:type="dxa"/>
              <w:bottom w:w="60" w:type="dxa"/>
              <w:right w:w="80" w:type="dxa"/>
              <w:left w:w="80" w:type="dxa"/>
            </w:tcMar>
            <w:shd w:fill="F4F6F8" w:val="clear"/>
          </w:tcPr>
          <w:p>
            <w:pPr>
              <w:bidi w:val="1"/>
              <w:spacing w:before="20" w:after="40" w:line="269" w:lineRule="auto"/>
              <w:jc w:val="right"/>
            </w:pPr>
            <w:r/>
            <w:r>
              <w:rPr>
                <w:rFonts w:ascii="Arial" w:hAnsi="Arial" w:cs="Arial" w:eastAsia="Arial"/>
                <w:b w:val="0"/>
                <w:sz w:val="20"/>
                <w:rtl/>
                <w:szCs w:val="20"/>
              </w:rPr>
              <w:t>יש יעד. חלה התקרה</w:t>
            </w:r>
          </w:p>
        </w:tc>
        <w:tc>
          <w:tcPr>
            <w:tcW w:type="dxa" w:w="2494"/>
            <w:tcMar>
              <w:top w:w="60" w:type="dxa"/>
              <w:bottom w:w="60" w:type="dxa"/>
              <w:right w:w="80" w:type="dxa"/>
              <w:left w:w="80" w:type="dxa"/>
            </w:tcMar>
            <w:shd w:fill="F4F6F8" w:val="clear"/>
          </w:tcPr>
          <w:p>
            <w:pPr>
              <w:bidi w:val="1"/>
              <w:spacing w:before="20" w:after="40" w:line="269" w:lineRule="auto"/>
              <w:jc w:val="right"/>
            </w:pPr>
            <w:r/>
            <w:r>
              <w:rPr>
                <w:rFonts w:ascii="Arial" w:hAnsi="Arial" w:cs="Arial" w:eastAsia="Arial"/>
                <w:b w:val="0"/>
                <w:sz w:val="20"/>
                <w:rtl/>
                <w:szCs w:val="20"/>
              </w:rPr>
              <w:t>1,000 דולר</w:t>
            </w:r>
          </w:p>
        </w:tc>
      </w:tr>
    </w:tbl>
    <w:p/>
    <w:p>
      <w:pPr>
        <w:bidi w:val="1"/>
        <w:spacing w:before="0" w:after="80" w:line="269" w:lineRule="auto"/>
        <w:jc w:val="right"/>
      </w:pPr>
      <w:r>
        <w:rPr>
          <w:rFonts w:ascii="Arial" w:hAnsi="Arial" w:cs="Arial" w:eastAsia="Arial"/>
          <w:b w:val="0"/>
          <w:sz w:val="22"/>
          <w:rtl/>
          <w:szCs w:val="22"/>
        </w:rPr>
        <w:t>בדוגמה של 15,000 דולר ברוטו ו-13,800 דולר נטו, הנטו המיוחס הוא 13,800 כפול 10,000 לחלק ל-15,000, היינו 9,200 דולר, ועשרה אחוזים מזה הם 920 דולר. בדוגמה של 40,000 דולר ברוטו ו-38,000 דולר נטו, הנטו המיוחס הוא 9,500 דולר והעמלה היא 950 דולר. בדוגמה של 100,000 דולר ברוטו בלי עמלות פלטפורמה, הבסיס נעצר ב-10,000 דולר והעמלה היא 1,000 דולר, לא 10,000 דולר.</w:t>
      </w:r>
    </w:p>
    <w:p>
      <w:pPr>
        <w:bidi w:val="1"/>
        <w:spacing w:before="0" w:after="80" w:line="269" w:lineRule="auto"/>
        <w:jc w:val="right"/>
      </w:pPr>
      <w:r>
        <w:rPr>
          <w:rFonts w:ascii="Arial" w:hAnsi="Arial" w:cs="Arial" w:eastAsia="Arial"/>
          <w:b w:val="0"/>
          <w:sz w:val="22"/>
          <w:rtl/>
          <w:szCs w:val="22"/>
        </w:rPr>
        <w:t>4.7 אם תקבול הברוטו הוא אפס, או שהקמפיין בוטל לפני גבייה, העמלה היא אפס. ביטול הקמפיין בידי המזמין אינו יוצר פיצוי נוסף מעבר לסעיף 4, על כסף שכבר נזקף, אם נזקף.</w:t>
      </w:r>
    </w:p>
    <w:p>
      <w:pPr>
        <w:bidi w:val="1"/>
        <w:spacing w:before="200" w:after="80" w:line="269" w:lineRule="auto"/>
        <w:jc w:val="right"/>
      </w:pPr>
      <w:r>
        <w:rPr>
          <w:rFonts w:ascii="Arial" w:hAnsi="Arial" w:cs="Arial" w:eastAsia="Arial"/>
          <w:b/>
          <w:color w:val="1E2A3E"/>
          <w:sz w:val="28"/>
          <w:rtl/>
          <w:szCs w:val="28"/>
        </w:rPr>
        <w:t>5. איך משלמים</w:t>
      </w:r>
    </w:p>
    <w:p>
      <w:pPr>
        <w:bidi w:val="1"/>
        <w:spacing w:before="0" w:after="80" w:line="269" w:lineRule="auto"/>
        <w:jc w:val="right"/>
      </w:pPr>
      <w:r>
        <w:rPr>
          <w:rFonts w:ascii="Arial" w:hAnsi="Arial" w:cs="Arial" w:eastAsia="Arial"/>
          <w:b w:val="0"/>
          <w:sz w:val="22"/>
          <w:rtl/>
          <w:szCs w:val="22"/>
        </w:rPr>
        <w:t>5.1 בתוך 14 ימי עסקים ממועד הסגירה יעביר המזמין לנותן השירות דף חישוב: ברוטו, פירוט עמלות וניכויים, נטו, אם היעד הושג, והסכום לתשלום. ייצוא מלוח הבקרה של Ko-fi, ושורות הבנק של המזמין שנוגעות לקמפיין, יכריעו אם יש פער. נותן השירות אינו זכאי לעיין במלוא חשבון הבנק.</w:t>
      </w:r>
    </w:p>
    <w:p>
      <w:pPr>
        <w:bidi w:val="1"/>
        <w:spacing w:before="0" w:after="80" w:line="269" w:lineRule="auto"/>
        <w:jc w:val="right"/>
      </w:pPr>
      <w:r>
        <w:rPr>
          <w:rFonts w:ascii="Arial" w:hAnsi="Arial" w:cs="Arial" w:eastAsia="Arial"/>
          <w:b w:val="0"/>
          <w:sz w:val="22"/>
          <w:rtl/>
          <w:szCs w:val="22"/>
        </w:rPr>
        <w:t>5.2 לנותן השירות שבעה ימים מיום קבלת דף החישוב להשיג השגה מנומקת בסכומים. אין השגה כללית. בחלוף המועד בלי השגה, החישוב סופי.</w:t>
      </w:r>
    </w:p>
    <w:p>
      <w:pPr>
        <w:bidi w:val="1"/>
        <w:spacing w:before="0" w:after="80" w:line="269" w:lineRule="auto"/>
        <w:jc w:val="right"/>
      </w:pPr>
      <w:r>
        <w:rPr>
          <w:rFonts w:ascii="Arial" w:hAnsi="Arial" w:cs="Arial" w:eastAsia="Arial"/>
          <w:b w:val="0"/>
          <w:sz w:val="22"/>
          <w:rtl/>
          <w:szCs w:val="22"/>
        </w:rPr>
        <w:t>5.3 התשלום ישולם בדולר, או בשקל לפי השער היציג של בנק ישראל ביום התשלום, לפי בחירת המזמין, כנגד חשבונית מס כדין. אין תשלום במזומן. סכום שלא שולם במועד יישא הפרשי הצמדה וריבית כדין.</w:t>
      </w:r>
    </w:p>
    <w:p>
      <w:pPr>
        <w:bidi w:val="1"/>
        <w:spacing w:before="0" w:after="80" w:line="269" w:lineRule="auto"/>
        <w:jc w:val="right"/>
      </w:pPr>
      <w:r>
        <w:rPr>
          <w:rFonts w:ascii="Arial" w:hAnsi="Arial" w:cs="Arial" w:eastAsia="Arial"/>
          <w:b w:val="0"/>
          <w:sz w:val="22"/>
          <w:rtl/>
          <w:szCs w:val="22"/>
        </w:rPr>
        <w:t>5.4 אם נותן השירות הוא עוסק החייב במע"מ, יתווסף מע"מ כנגד חשבונית מס, על העמלה בלבד. המע"מ אינו מחושב על תקבול הנטו. אם אין חובת מע"מ, לא יתווסף דבר.</w:t>
      </w:r>
    </w:p>
    <w:p>
      <w:pPr>
        <w:bidi w:val="1"/>
        <w:spacing w:before="0" w:after="80" w:line="269" w:lineRule="auto"/>
        <w:jc w:val="right"/>
      </w:pPr>
      <w:r>
        <w:rPr>
          <w:rFonts w:ascii="Arial" w:hAnsi="Arial" w:cs="Arial" w:eastAsia="Arial"/>
          <w:b w:val="0"/>
          <w:sz w:val="22"/>
          <w:rtl/>
          <w:szCs w:val="22"/>
        </w:rPr>
        <w:t>5.5 המזמין ינכה במקור כנדרש בדין. אישור פקיד שומה על פטור או על שיעור מופחת יוצג לפני התשלום. אם לא הוצג, ינוכה השיעור המרבי המותר.</w:t>
      </w:r>
    </w:p>
    <w:p>
      <w:pPr>
        <w:bidi w:val="1"/>
        <w:spacing w:before="0" w:after="80" w:line="269" w:lineRule="auto"/>
        <w:jc w:val="right"/>
      </w:pPr>
      <w:r>
        <w:rPr>
          <w:rFonts w:ascii="Arial" w:hAnsi="Arial" w:cs="Arial" w:eastAsia="Arial"/>
          <w:b w:val="0"/>
          <w:sz w:val="22"/>
          <w:rtl/>
          <w:szCs w:val="22"/>
        </w:rPr>
        <w:t>5.6 אין החזר הוצאות, מודעות ממומנות, בוסט, פרילנסר או נסיעות, אלא אם המזמין אישר סכום נקוב בכתב לפני ההוצאה. הוצאה שאושרה אינה חלק מהנטו ואינה בסיס לעמלה.</w:t>
      </w:r>
    </w:p>
    <w:p>
      <w:pPr>
        <w:bidi w:val="1"/>
        <w:spacing w:before="200" w:after="80" w:line="269" w:lineRule="auto"/>
        <w:jc w:val="right"/>
      </w:pPr>
      <w:r>
        <w:rPr>
          <w:rFonts w:ascii="Arial" w:hAnsi="Arial" w:cs="Arial" w:eastAsia="Arial"/>
          <w:b/>
          <w:color w:val="1E2A3E"/>
          <w:sz w:val="28"/>
          <w:rtl/>
          <w:szCs w:val="28"/>
        </w:rPr>
        <w:t>6. אם הכסף חזר אחורה</w:t>
      </w:r>
    </w:p>
    <w:p>
      <w:pPr>
        <w:bidi w:val="1"/>
        <w:spacing w:before="0" w:after="80" w:line="269" w:lineRule="auto"/>
        <w:jc w:val="right"/>
      </w:pPr>
      <w:r>
        <w:rPr>
          <w:rFonts w:ascii="Arial" w:hAnsi="Arial" w:cs="Arial" w:eastAsia="Arial"/>
          <w:b w:val="0"/>
          <w:sz w:val="22"/>
          <w:rtl/>
          <w:szCs w:val="22"/>
        </w:rPr>
        <w:t>6.1 אם בתוך 12 חודשים ממועד הסגירה ירד תקבול הנטו בגלל החזר, ביטול חיוב, עתודה שלא שוחררה, או חיוב של Ko-fi, העמלה תחושב מחדש לפי סעיף 4.</w:t>
      </w:r>
    </w:p>
    <w:p>
      <w:pPr>
        <w:bidi w:val="1"/>
        <w:spacing w:before="0" w:after="80" w:line="269" w:lineRule="auto"/>
        <w:jc w:val="right"/>
      </w:pPr>
      <w:r>
        <w:rPr>
          <w:rFonts w:ascii="Arial" w:hAnsi="Arial" w:cs="Arial" w:eastAsia="Arial"/>
          <w:b w:val="0"/>
          <w:sz w:val="22"/>
          <w:rtl/>
          <w:szCs w:val="22"/>
        </w:rPr>
        <w:t>6.2 נותן השירות יחזיר את ההפרש בתוך 14 יום מדרישה בכתב. הפרש שלא הוחזר במועד יישא הפרשי הצמדה וריבית כדין. המזמין רשאי לקזז את ההפרש מכל סכום שעוד חייב לו.</w:t>
      </w:r>
    </w:p>
    <w:p>
      <w:pPr>
        <w:bidi w:val="1"/>
        <w:spacing w:before="0" w:after="80" w:line="269" w:lineRule="auto"/>
        <w:jc w:val="right"/>
      </w:pPr>
      <w:r>
        <w:rPr>
          <w:rFonts w:ascii="Arial" w:hAnsi="Arial" w:cs="Arial" w:eastAsia="Arial"/>
          <w:b w:val="0"/>
          <w:sz w:val="22"/>
          <w:rtl/>
          <w:szCs w:val="22"/>
        </w:rPr>
        <w:t>6.3 זכות זו שורדת את סיום ההסכם.</w:t>
      </w:r>
    </w:p>
    <w:p>
      <w:pPr>
        <w:bidi w:val="1"/>
        <w:spacing w:before="200" w:after="80" w:line="269" w:lineRule="auto"/>
        <w:jc w:val="right"/>
      </w:pPr>
      <w:r>
        <w:rPr>
          <w:rFonts w:ascii="Arial" w:hAnsi="Arial" w:cs="Arial" w:eastAsia="Arial"/>
          <w:b/>
          <w:color w:val="1E2A3E"/>
          <w:sz w:val="28"/>
          <w:rtl/>
          <w:szCs w:val="28"/>
        </w:rPr>
        <w:t>7. אם מישהו מפסיק באמצע</w:t>
      </w:r>
    </w:p>
    <w:p>
      <w:pPr>
        <w:bidi w:val="1"/>
        <w:spacing w:before="0" w:after="80" w:line="269" w:lineRule="auto"/>
        <w:jc w:val="right"/>
      </w:pPr>
      <w:r>
        <w:rPr>
          <w:rFonts w:ascii="Arial" w:hAnsi="Arial" w:cs="Arial" w:eastAsia="Arial"/>
          <w:b w:val="0"/>
          <w:sz w:val="22"/>
          <w:rtl/>
          <w:szCs w:val="22"/>
        </w:rPr>
        <w:t>7.1 המזמין רשאי להפסיק את השירות בהודעה של שלושה ימים, בלי נימוק. אם ההפסקה אינה בגלל הפרה של נותן השירות, נוסחת סעיף 4 נשארת על כסף שכבר נזקף ועל כסף שייזקף בהמשך מאותו קמפיין עד סגירתו. אי אפשר לבטל את ההסכם ביום האחרון רק כדי להחליף עשרה אחוזים בחמישה.</w:t>
      </w:r>
    </w:p>
    <w:p>
      <w:pPr>
        <w:bidi w:val="1"/>
        <w:spacing w:before="0" w:after="80" w:line="269" w:lineRule="auto"/>
        <w:jc w:val="right"/>
      </w:pPr>
      <w:r>
        <w:rPr>
          <w:rFonts w:ascii="Arial" w:hAnsi="Arial" w:cs="Arial" w:eastAsia="Arial"/>
          <w:b w:val="0"/>
          <w:sz w:val="22"/>
          <w:rtl/>
          <w:szCs w:val="22"/>
        </w:rPr>
        <w:t>7.2 אם נותן השירות מפסיק לפרסם לפני סוף הקמפיין בלי הסכמת המזמין בכתב, או מפר את סעיף 3.3, את סעיף 3.4 או את סעיף 3.8 הפרה מהותית ולא תיקן בתוך 48 שעות מדרישה, אז גם אם היעד הושג העמלה תהיה חמישה אחוזים מהנטו המיוחס בלבד, ולא יותר מ-500 דולר. זה תמריץ מידתי להשלמת השירות, לא קנס מוסכם נפרד.</w:t>
      </w:r>
    </w:p>
    <w:p>
      <w:pPr>
        <w:bidi w:val="1"/>
        <w:spacing w:before="0" w:after="80" w:line="269" w:lineRule="auto"/>
        <w:jc w:val="right"/>
      </w:pPr>
      <w:r>
        <w:rPr>
          <w:rFonts w:ascii="Arial" w:hAnsi="Arial" w:cs="Arial" w:eastAsia="Arial"/>
          <w:b w:val="0"/>
          <w:sz w:val="22"/>
          <w:rtl/>
          <w:szCs w:val="22"/>
        </w:rPr>
        <w:t>7.3 סיום ההסכם אינו מוחק חוב חישוב שכבר התגבש, ואינו יוצר עמלה על פרסום שאחרי תאריך הסיום. כסף שכבר היה בצינור של אותו קמפיין יחושב לפי סעיף 7.1 או לפי סעיף 7.2, לפי העניין.</w:t>
      </w:r>
    </w:p>
    <w:p>
      <w:pPr>
        <w:bidi w:val="1"/>
        <w:spacing w:before="200" w:after="80" w:line="269" w:lineRule="auto"/>
        <w:jc w:val="right"/>
      </w:pPr>
      <w:r>
        <w:rPr>
          <w:rFonts w:ascii="Arial" w:hAnsi="Arial" w:cs="Arial" w:eastAsia="Arial"/>
          <w:b/>
          <w:color w:val="1E2A3E"/>
          <w:sz w:val="28"/>
          <w:rtl/>
          <w:szCs w:val="28"/>
        </w:rPr>
        <w:t>8. קניין וחשבונות</w:t>
      </w:r>
    </w:p>
    <w:p>
      <w:pPr>
        <w:bidi w:val="1"/>
        <w:spacing w:before="0" w:after="80" w:line="269" w:lineRule="auto"/>
        <w:jc w:val="right"/>
      </w:pPr>
      <w:r>
        <w:rPr>
          <w:rFonts w:ascii="Arial" w:hAnsi="Arial" w:cs="Arial" w:eastAsia="Arial"/>
          <w:b w:val="0"/>
          <w:sz w:val="22"/>
          <w:rtl/>
          <w:szCs w:val="22"/>
        </w:rPr>
        <w:t>8.1 עמוד Ko-fi, חשבונות הפרסום של המזמין, רשימת התומכים, הנתונים, הסימנים והמותג Failrail הם של המזמין. נותן השירות לא ייצא עם הרשימה ולא יוסיף אותה לרשימת תפוצה שלו.</w:t>
      </w:r>
    </w:p>
    <w:p>
      <w:pPr>
        <w:bidi w:val="1"/>
        <w:spacing w:before="0" w:after="80" w:line="269" w:lineRule="auto"/>
        <w:jc w:val="right"/>
      </w:pPr>
      <w:r>
        <w:rPr>
          <w:rFonts w:ascii="Arial" w:hAnsi="Arial" w:cs="Arial" w:eastAsia="Arial"/>
          <w:b w:val="0"/>
          <w:sz w:val="22"/>
          <w:rtl/>
          <w:szCs w:val="22"/>
        </w:rPr>
        <w:t>8.2 חשבונות האינסטגרם, הטיקטוק והפייסבוק של נותן השירות נשארים שלו. חומר שנוצר עבור הקמפיין, לרבות טקסט, תמונה, סרטון וקופי, שייך למזמין מרגע יצירתו, לרבות הזכות לשנות ולפרסם שוב. נותן השירות מוותר על זכות מוסרית לתבוע בגין שינוי סביר, ככל שהדין מתיר ויתור כזה.</w:t>
      </w:r>
    </w:p>
    <w:p>
      <w:pPr>
        <w:bidi w:val="1"/>
        <w:spacing w:before="0" w:after="80" w:line="269" w:lineRule="auto"/>
        <w:jc w:val="right"/>
      </w:pPr>
      <w:r>
        <w:rPr>
          <w:rFonts w:ascii="Arial" w:hAnsi="Arial" w:cs="Arial" w:eastAsia="Arial"/>
          <w:b w:val="0"/>
          <w:sz w:val="22"/>
          <w:rtl/>
          <w:szCs w:val="22"/>
        </w:rPr>
        <w:t>8.3 בתקופת הקמפיין לא ימחק נותן השירות פרסום שאושר. אחרי סיום הקמפיין, אם המזמין יבקש להסיר פרסום שהנושא היחיד שלו הוא הקמפיין, נותן השירות יסיר אותו בתוך שבעה ימים.</w:t>
      </w:r>
    </w:p>
    <w:p>
      <w:pPr>
        <w:bidi w:val="1"/>
        <w:spacing w:before="0" w:after="80" w:line="269" w:lineRule="auto"/>
        <w:jc w:val="right"/>
      </w:pPr>
      <w:r>
        <w:rPr>
          <w:rFonts w:ascii="Arial" w:hAnsi="Arial" w:cs="Arial" w:eastAsia="Arial"/>
          <w:b w:val="0"/>
          <w:sz w:val="22"/>
          <w:rtl/>
          <w:szCs w:val="22"/>
        </w:rPr>
        <w:t>8.4 נותן השירות לא יפרסם שהביא סכום גיוס מסוים, אלא באישור המזמין מראש ובמספר שהמזמין אישר.</w:t>
      </w:r>
    </w:p>
    <w:p>
      <w:pPr>
        <w:bidi w:val="1"/>
        <w:spacing w:before="200" w:after="80" w:line="269" w:lineRule="auto"/>
        <w:jc w:val="right"/>
      </w:pPr>
      <w:r>
        <w:rPr>
          <w:rFonts w:ascii="Arial" w:hAnsi="Arial" w:cs="Arial" w:eastAsia="Arial"/>
          <w:b/>
          <w:color w:val="1E2A3E"/>
          <w:sz w:val="28"/>
          <w:rtl/>
          <w:szCs w:val="28"/>
        </w:rPr>
        <w:t>9. סודיות</w:t>
      </w:r>
    </w:p>
    <w:p>
      <w:pPr>
        <w:bidi w:val="1"/>
        <w:spacing w:before="0" w:after="80" w:line="269" w:lineRule="auto"/>
        <w:jc w:val="right"/>
      </w:pPr>
      <w:r>
        <w:rPr>
          <w:rFonts w:ascii="Arial" w:hAnsi="Arial" w:cs="Arial" w:eastAsia="Arial"/>
          <w:b w:val="0"/>
          <w:sz w:val="22"/>
          <w:rtl/>
          <w:szCs w:val="22"/>
        </w:rPr>
        <w:t>תנאי העמלה, נתוני הקמפיין שטרם פורסמו, ותנאי ההסכם, חסויים. מותר לגלות אותם ליועץ מס, לעורך דין, או אם הדין מחייב. החובה הזו תעמוד שלוש שנים מסיום ההסכם.</w:t>
      </w:r>
    </w:p>
    <w:p>
      <w:pPr>
        <w:bidi w:val="1"/>
        <w:spacing w:before="200" w:after="80" w:line="269" w:lineRule="auto"/>
        <w:jc w:val="right"/>
      </w:pPr>
      <w:r>
        <w:rPr>
          <w:rFonts w:ascii="Arial" w:hAnsi="Arial" w:cs="Arial" w:eastAsia="Arial"/>
          <w:b/>
          <w:color w:val="1E2A3E"/>
          <w:sz w:val="28"/>
          <w:rtl/>
          <w:szCs w:val="28"/>
        </w:rPr>
        <w:t>10. מעמד</w:t>
      </w:r>
    </w:p>
    <w:p>
      <w:pPr>
        <w:bidi w:val="1"/>
        <w:spacing w:before="0" w:after="80" w:line="269" w:lineRule="auto"/>
        <w:jc w:val="right"/>
      </w:pPr>
      <w:r>
        <w:rPr>
          <w:rFonts w:ascii="Arial" w:hAnsi="Arial" w:cs="Arial" w:eastAsia="Arial"/>
          <w:b w:val="0"/>
          <w:sz w:val="22"/>
          <w:rtl/>
          <w:szCs w:val="22"/>
        </w:rPr>
        <w:t>10.1 נותן השירות הוא קבלן עצמאי. אין יחסי עבודה, אין שותפות, אין שליחות, ואין זכות במניות.</w:t>
      </w:r>
    </w:p>
    <w:p>
      <w:pPr>
        <w:bidi w:val="1"/>
        <w:spacing w:before="0" w:after="80" w:line="269" w:lineRule="auto"/>
        <w:jc w:val="right"/>
      </w:pPr>
      <w:r>
        <w:rPr>
          <w:rFonts w:ascii="Arial" w:hAnsi="Arial" w:cs="Arial" w:eastAsia="Arial"/>
          <w:b w:val="0"/>
          <w:sz w:val="22"/>
          <w:rtl/>
          <w:szCs w:val="22"/>
        </w:rPr>
        <w:t>10.2 אין לנותן השירות זכות באביתר, ב-Failrail, בהכנסות השוטפות, או באסימון אם יהיה אסימון.</w:t>
      </w:r>
    </w:p>
    <w:p>
      <w:pPr>
        <w:bidi w:val="1"/>
        <w:spacing w:before="0" w:after="80" w:line="269" w:lineRule="auto"/>
        <w:jc w:val="right"/>
      </w:pPr>
      <w:r>
        <w:rPr>
          <w:rFonts w:ascii="Arial" w:hAnsi="Arial" w:cs="Arial" w:eastAsia="Arial"/>
          <w:b w:val="0"/>
          <w:sz w:val="22"/>
          <w:rtl/>
          <w:szCs w:val="22"/>
        </w:rPr>
        <w:t>10.3 נותן השירות אחראי למס שלו, לביטוח הלאומי שלו, ולכל מי שהוא מעסיק. אין למזמין חובות ניכוי של מעסיק.</w:t>
      </w:r>
    </w:p>
    <w:p>
      <w:pPr>
        <w:bidi w:val="1"/>
        <w:spacing w:before="200" w:after="80" w:line="269" w:lineRule="auto"/>
        <w:jc w:val="right"/>
      </w:pPr>
      <w:r>
        <w:rPr>
          <w:rFonts w:ascii="Arial" w:hAnsi="Arial" w:cs="Arial" w:eastAsia="Arial"/>
          <w:b/>
          <w:color w:val="1E2A3E"/>
          <w:sz w:val="28"/>
          <w:rtl/>
          <w:szCs w:val="28"/>
        </w:rPr>
        <w:t>11. אחריות</w:t>
      </w:r>
    </w:p>
    <w:p>
      <w:pPr>
        <w:bidi w:val="1"/>
        <w:spacing w:before="0" w:after="80" w:line="269" w:lineRule="auto"/>
        <w:jc w:val="right"/>
      </w:pPr>
      <w:r>
        <w:rPr>
          <w:rFonts w:ascii="Arial" w:hAnsi="Arial" w:cs="Arial" w:eastAsia="Arial"/>
          <w:b w:val="0"/>
          <w:sz w:val="22"/>
          <w:rtl/>
          <w:szCs w:val="22"/>
        </w:rPr>
        <w:t>11.1 נותן השירות ישפה את המזמין על נזק ממשי ועל עלות סבירה, לרבות שכר טרחת עורך דין סביר, שנגרמו מתביעת צד שלישי בגלל פרסום שלא אושר, הבטחת רווח, או הפרת דין על ידי נותן השירות.</w:t>
      </w:r>
    </w:p>
    <w:p>
      <w:pPr>
        <w:bidi w:val="1"/>
        <w:spacing w:before="0" w:after="80" w:line="269" w:lineRule="auto"/>
        <w:jc w:val="right"/>
      </w:pPr>
      <w:r>
        <w:rPr>
          <w:rFonts w:ascii="Arial" w:hAnsi="Arial" w:cs="Arial" w:eastAsia="Arial"/>
          <w:b w:val="0"/>
          <w:sz w:val="22"/>
          <w:rtl/>
          <w:szCs w:val="22"/>
        </w:rPr>
        <w:t>11.2 המזמין אינו מבטיח שהיעד יושג, ש-Ko-fi יאשר את העמוד, שהבטא תצא במועד מסוים, או שהמוצר יצליח. העמלה היא על כסף שנכנס, לא על תוצאה עסקית.</w:t>
      </w:r>
    </w:p>
    <w:p>
      <w:pPr>
        <w:bidi w:val="1"/>
        <w:spacing w:before="0" w:after="80" w:line="269" w:lineRule="auto"/>
        <w:jc w:val="right"/>
      </w:pPr>
      <w:r>
        <w:rPr>
          <w:rFonts w:ascii="Arial" w:hAnsi="Arial" w:cs="Arial" w:eastAsia="Arial"/>
          <w:b w:val="0"/>
          <w:sz w:val="22"/>
          <w:rtl/>
          <w:szCs w:val="22"/>
        </w:rPr>
        <w:t>11.3 אחריות המזמין כלפי נותן השירות לפי הסכם זה מוגבלת לעמלה שחושבה לפי סעיף 4 וטרם שולמה. אין פיצוי על אובדן לקוחות, מוניטין, חשיפה או רווח צפוי.</w:t>
      </w:r>
    </w:p>
    <w:p>
      <w:pPr>
        <w:bidi w:val="1"/>
        <w:spacing w:before="200" w:after="80" w:line="269" w:lineRule="auto"/>
        <w:jc w:val="right"/>
      </w:pPr>
      <w:r>
        <w:rPr>
          <w:rFonts w:ascii="Arial" w:hAnsi="Arial" w:cs="Arial" w:eastAsia="Arial"/>
          <w:b/>
          <w:color w:val="1E2A3E"/>
          <w:sz w:val="28"/>
          <w:rtl/>
          <w:szCs w:val="28"/>
        </w:rPr>
        <w:t>12. כללי</w:t>
      </w:r>
    </w:p>
    <w:p>
      <w:pPr>
        <w:bidi w:val="1"/>
        <w:spacing w:before="0" w:after="80" w:line="269" w:lineRule="auto"/>
        <w:jc w:val="right"/>
      </w:pPr>
      <w:r>
        <w:rPr>
          <w:rFonts w:ascii="Arial" w:hAnsi="Arial" w:cs="Arial" w:eastAsia="Arial"/>
          <w:b w:val="0"/>
          <w:sz w:val="22"/>
          <w:rtl/>
          <w:szCs w:val="22"/>
        </w:rPr>
        <w:t>12.1 ההסכם ממצה את מה שהוסכם. מצגת, שיחה, או אמירה שסוכם על עשרה אחוזים מכל מה שייכנס, בטלות כלפי הסכם זה.</w:t>
      </w:r>
    </w:p>
    <w:p>
      <w:pPr>
        <w:bidi w:val="1"/>
        <w:spacing w:before="0" w:after="80" w:line="269" w:lineRule="auto"/>
        <w:jc w:val="right"/>
      </w:pPr>
      <w:r>
        <w:rPr>
          <w:rFonts w:ascii="Arial" w:hAnsi="Arial" w:cs="Arial" w:eastAsia="Arial"/>
          <w:b w:val="0"/>
          <w:sz w:val="22"/>
          <w:rtl/>
          <w:szCs w:val="22"/>
        </w:rPr>
        <w:t>12.2 ויתור צריך להיות בכתב. איחור באכיפה אינו ויתור.</w:t>
      </w:r>
    </w:p>
    <w:p>
      <w:pPr>
        <w:bidi w:val="1"/>
        <w:spacing w:before="0" w:after="80" w:line="269" w:lineRule="auto"/>
        <w:jc w:val="right"/>
      </w:pPr>
      <w:r>
        <w:rPr>
          <w:rFonts w:ascii="Arial" w:hAnsi="Arial" w:cs="Arial" w:eastAsia="Arial"/>
          <w:b w:val="0"/>
          <w:sz w:val="22"/>
          <w:rtl/>
          <w:szCs w:val="22"/>
        </w:rPr>
        <w:t>12.3 אם סעיף בטל, השאר עומד. במקום הסעיף הבטל יבוא התוכן הקרוב ביותר שעומד בדין ושומר על התקרה ועל החישוב לפי נטו בפועל.</w:t>
      </w:r>
    </w:p>
    <w:p>
      <w:pPr>
        <w:bidi w:val="1"/>
        <w:spacing w:before="0" w:after="80" w:line="269" w:lineRule="auto"/>
        <w:jc w:val="right"/>
      </w:pPr>
      <w:r>
        <w:rPr>
          <w:rFonts w:ascii="Arial" w:hAnsi="Arial" w:cs="Arial" w:eastAsia="Arial"/>
          <w:b w:val="0"/>
          <w:sz w:val="22"/>
          <w:rtl/>
          <w:szCs w:val="22"/>
        </w:rPr>
        <w:t>12.4 נותן השירות לא ימחה את ההסכם ואת הזכות לעמלה. המזמין רשאי להמחות את ההסכם לחברה בבעלותו שתקבל את כספי הקמפיין, ובלבד שהחובה כלפי נותן השירות תעבור איתה.</w:t>
      </w:r>
    </w:p>
    <w:p>
      <w:pPr>
        <w:bidi w:val="1"/>
        <w:spacing w:before="0" w:after="80" w:line="269" w:lineRule="auto"/>
        <w:jc w:val="right"/>
      </w:pPr>
      <w:r>
        <w:rPr>
          <w:rFonts w:ascii="Arial" w:hAnsi="Arial" w:cs="Arial" w:eastAsia="Arial"/>
          <w:b w:val="0"/>
          <w:sz w:val="22"/>
          <w:rtl/>
          <w:szCs w:val="22"/>
        </w:rPr>
        <w:t>12.5 דין מדינת ישראל. סמכות השיפוט הבלעדית לבתי המשפט המוסמכים בתל אביב-יפו. במשך שבעה ימים מבקשת צד בכתב, הצדדים ינסו ליישב את המחלוקת בשיחה. אין בכך כדי לעכב פנייה לבית משפט אחרי תום שבעת הימים, ואין בכך תנאי לתביעה.</w:t>
      </w:r>
    </w:p>
    <w:p>
      <w:pPr>
        <w:bidi w:val="1"/>
        <w:spacing w:before="0" w:after="80" w:line="269" w:lineRule="auto"/>
        <w:jc w:val="right"/>
      </w:pPr>
      <w:r>
        <w:rPr>
          <w:rFonts w:ascii="Arial" w:hAnsi="Arial" w:cs="Arial" w:eastAsia="Arial"/>
          <w:b w:val="0"/>
          <w:sz w:val="22"/>
          <w:rtl/>
          <w:szCs w:val="22"/>
        </w:rPr>
        <w:t>12.6 שני עותקים, ושניהם מקור. חתימה אלקטרונית מזוהה מספיקה.</w:t>
      </w:r>
    </w:p>
    <w:p>
      <w:pPr>
        <w:bidi w:val="1"/>
        <w:spacing w:before="200" w:after="80" w:line="269" w:lineRule="auto"/>
        <w:jc w:val="right"/>
      </w:pPr>
      <w:r>
        <w:rPr>
          <w:rFonts w:ascii="Arial" w:hAnsi="Arial" w:cs="Arial" w:eastAsia="Arial"/>
          <w:b/>
          <w:color w:val="1E2A3E"/>
          <w:sz w:val="28"/>
          <w:rtl/>
          <w:szCs w:val="28"/>
        </w:rPr>
        <w:t>13. הצהרת נותן השירות</w:t>
      </w:r>
    </w:p>
    <w:p>
      <w:pPr>
        <w:bidi w:val="1"/>
        <w:spacing w:before="0" w:after="80" w:line="269" w:lineRule="auto"/>
        <w:jc w:val="right"/>
      </w:pPr>
      <w:r>
        <w:rPr>
          <w:rFonts w:ascii="Arial" w:hAnsi="Arial" w:cs="Arial" w:eastAsia="Arial"/>
          <w:b w:val="0"/>
          <w:sz w:val="22"/>
          <w:rtl/>
          <w:szCs w:val="22"/>
        </w:rPr>
        <w:t>בחתימתו מאשר נותן השירות שקרא את סעיף 4 ואת נספח ב, שהבין שבהגעה ליעד העמלה היא עשרה אחוזים רק מהנטו המיוחס ל-10,000 דולר ולא מהעודף, שהתקרה היא 1,000 דולר, ושבהחטאת היעד העמלה היא חמישה אחוזים מהנטו שנכנס בפועל, או אפס אם לא שוחרר כסף. כל צד מצהיר שהומלץ לו להתייעץ בעורך דין לפני החתימה, ושהוא חותם מרצונו.</w:t>
      </w:r>
    </w:p>
    <w:p>
      <w:pPr>
        <w:bidi w:val="1"/>
        <w:spacing w:before="0" w:after="80" w:line="269" w:lineRule="auto"/>
        <w:jc w:val="right"/>
      </w:pPr>
      <w:r>
        <w:rPr>
          <w:rFonts w:ascii="Arial" w:hAnsi="Arial" w:cs="Arial" w:eastAsia="Arial"/>
          <w:b/>
          <w:sz w:val="22"/>
          <w:rtl/>
          <w:szCs w:val="22"/>
        </w:rPr>
        <w:t>ולראיה באו הצדדים על החתום:</w:t>
      </w:r>
    </w:p>
    <w:tbl>
      <w:tblPr>
        <w:tblW w:type="auto" w:w="0"/>
        <w:tblLayout w:type="autofit"/>
        <w:tblLook w:firstColumn="1" w:firstRow="1" w:lastColumn="0" w:lastRow="0" w:noHBand="0" w:noVBand="1" w:val="04A0"/>
        <w:bidiVisual w:val="1"/>
      </w:tblPr>
      <w:tblGrid>
        <w:gridCol w:w="4989"/>
        <w:gridCol w:w="4989"/>
      </w:tblGrid>
      <w:tr>
        <w:tc>
          <w:tcPr>
            <w:tcW w:type="dxa" w:w="4989"/>
          </w:tcPr>
          <w:p>
            <w:pPr>
              <w:bidi w:val="1"/>
              <w:spacing w:before="0" w:after="40" w:line="269" w:lineRule="auto"/>
              <w:jc w:val="right"/>
            </w:pPr>
            <w:r/>
            <w:r>
              <w:rPr>
                <w:rFonts w:ascii="Arial" w:hAnsi="Arial" w:cs="Arial" w:eastAsia="Arial"/>
                <w:b/>
                <w:color w:val="1E2A3E"/>
                <w:sz w:val="24"/>
                <w:rtl/>
                <w:szCs w:val="24"/>
              </w:rPr>
              <w:t>המזמין</w:t>
            </w:r>
          </w:p>
          <w:p>
            <w:pPr>
              <w:bidi w:val="1"/>
              <w:spacing w:before="80" w:after="40" w:line="269" w:lineRule="auto"/>
              <w:jc w:val="right"/>
            </w:pPr>
            <w:r>
              <w:rPr>
                <w:rFonts w:ascii="Arial" w:hAnsi="Arial" w:cs="Arial" w:eastAsia="Arial"/>
                <w:b w:val="0"/>
                <w:sz w:val="22"/>
                <w:rtl/>
                <w:szCs w:val="22"/>
              </w:rPr>
              <w:t>שם: אביתר</w:t>
            </w:r>
          </w:p>
          <w:p>
            <w:pPr>
              <w:bidi w:val="1"/>
              <w:spacing w:before="80" w:after="40" w:line="269" w:lineRule="auto"/>
              <w:jc w:val="right"/>
            </w:pPr>
            <w:r>
              <w:rPr>
                <w:rFonts w:ascii="Arial" w:hAnsi="Arial" w:cs="Arial" w:eastAsia="Arial"/>
                <w:b w:val="0"/>
                <w:sz w:val="22"/>
                <w:rtl/>
                <w:szCs w:val="22"/>
              </w:rPr>
              <w:t>חתימה: ________________</w:t>
            </w:r>
          </w:p>
          <w:p>
            <w:pPr>
              <w:bidi w:val="1"/>
              <w:spacing w:before="80" w:after="40" w:line="269" w:lineRule="auto"/>
              <w:jc w:val="right"/>
            </w:pPr>
            <w:r>
              <w:rPr>
                <w:rFonts w:ascii="Arial" w:hAnsi="Arial" w:cs="Arial" w:eastAsia="Arial"/>
                <w:b w:val="0"/>
                <w:sz w:val="22"/>
                <w:rtl/>
                <w:szCs w:val="22"/>
              </w:rPr>
              <w:t>תאריך: ________________</w:t>
            </w:r>
          </w:p>
        </w:tc>
        <w:tc>
          <w:tcPr>
            <w:tcW w:type="dxa" w:w="4989"/>
          </w:tcPr>
          <w:p>
            <w:pPr>
              <w:bidi w:val="1"/>
              <w:spacing w:before="0" w:after="40" w:line="269" w:lineRule="auto"/>
              <w:jc w:val="right"/>
            </w:pPr>
            <w:r/>
            <w:r>
              <w:rPr>
                <w:rFonts w:ascii="Arial" w:hAnsi="Arial" w:cs="Arial" w:eastAsia="Arial"/>
                <w:b/>
                <w:color w:val="1E2A3E"/>
                <w:sz w:val="24"/>
                <w:rtl/>
                <w:szCs w:val="24"/>
              </w:rPr>
              <w:t>נותן השירות</w:t>
            </w:r>
          </w:p>
          <w:p>
            <w:pPr>
              <w:bidi w:val="1"/>
              <w:spacing w:before="80" w:after="40" w:line="269" w:lineRule="auto"/>
              <w:jc w:val="right"/>
            </w:pPr>
            <w:r>
              <w:rPr>
                <w:rFonts w:ascii="Arial" w:hAnsi="Arial" w:cs="Arial" w:eastAsia="Arial"/>
                <w:b w:val="0"/>
                <w:sz w:val="22"/>
                <w:rtl/>
                <w:szCs w:val="22"/>
              </w:rPr>
              <w:t>שם: שליו</w:t>
            </w:r>
          </w:p>
          <w:p>
            <w:pPr>
              <w:bidi w:val="1"/>
              <w:spacing w:before="80" w:after="40" w:line="269" w:lineRule="auto"/>
              <w:jc w:val="right"/>
            </w:pPr>
            <w:r>
              <w:rPr>
                <w:rFonts w:ascii="Arial" w:hAnsi="Arial" w:cs="Arial" w:eastAsia="Arial"/>
                <w:b w:val="0"/>
                <w:sz w:val="22"/>
                <w:rtl/>
                <w:szCs w:val="22"/>
              </w:rPr>
              <w:t>חתימה: ________________</w:t>
            </w:r>
          </w:p>
          <w:p>
            <w:pPr>
              <w:bidi w:val="1"/>
              <w:spacing w:before="80" w:after="40" w:line="269" w:lineRule="auto"/>
              <w:jc w:val="right"/>
            </w:pPr>
            <w:r>
              <w:rPr>
                <w:rFonts w:ascii="Arial" w:hAnsi="Arial" w:cs="Arial" w:eastAsia="Arial"/>
                <w:b w:val="0"/>
                <w:sz w:val="22"/>
                <w:rtl/>
                <w:szCs w:val="22"/>
              </w:rPr>
              <w:t>תאריך: ________________</w:t>
            </w:r>
          </w:p>
        </w:tc>
      </w:tr>
    </w:tbl>
    <w:p>
      <w:pPr>
        <w:bidi w:val="1"/>
        <w:spacing w:before="200" w:after="80" w:line="269" w:lineRule="auto"/>
        <w:jc w:val="right"/>
      </w:pPr>
      <w:r>
        <w:rPr>
          <w:rFonts w:ascii="Arial" w:hAnsi="Arial" w:cs="Arial" w:eastAsia="Arial"/>
          <w:b/>
          <w:color w:val="1E2A3E"/>
          <w:sz w:val="28"/>
          <w:rtl/>
          <w:szCs w:val="28"/>
        </w:rPr>
        <w:t>נספח א. הקמפיין</w:t>
      </w:r>
    </w:p>
    <w:p>
      <w:pPr>
        <w:bidi w:val="1"/>
        <w:spacing w:before="0" w:after="80" w:line="269" w:lineRule="auto"/>
        <w:jc w:val="right"/>
      </w:pPr>
      <w:r>
        <w:rPr>
          <w:rFonts w:ascii="Arial" w:hAnsi="Arial" w:cs="Arial" w:eastAsia="Arial"/>
          <w:b w:val="0"/>
          <w:sz w:val="22"/>
          <w:rtl/>
          <w:szCs w:val="22"/>
        </w:rPr>
        <w:t>אין בנספח זה קמפיין שני. העמלה היא לפי סעיף 4 בלבד, גם אם נספח זה נפרד מההסכם.</w:t>
      </w:r>
    </w:p>
    <w:tbl>
      <w:tblPr>
        <w:tblStyle w:val="TableGrid"/>
        <w:tblW w:type="auto" w:w="0"/>
        <w:tblLayout w:type="autofit"/>
        <w:tblLook w:firstColumn="1" w:firstRow="1" w:lastColumn="0" w:lastRow="0" w:noHBand="0" w:noVBand="1" w:val="04A0"/>
        <w:bidiVisual w:val="1"/>
      </w:tblPr>
      <w:tblGrid>
        <w:gridCol w:w="4989"/>
        <w:gridCol w:w="4989"/>
      </w:tblGrid>
      <w:tr>
        <w:trPr>
          <w:cantSplit/>
        </w:trPr>
        <w:tc>
          <w:tcPr>
            <w:tcW w:type="dxa" w:w="4989"/>
            <w:tcMar>
              <w:top w:w="60" w:type="dxa"/>
              <w:bottom w:w="60" w:type="dxa"/>
              <w:right w:w="80" w:type="dxa"/>
              <w:left w:w="80" w:type="dxa"/>
            </w:tcMar>
            <w:shd w:fill="1E2A3E" w:val="clear"/>
          </w:tcPr>
          <w:p>
            <w:pPr>
              <w:bidi w:val="1"/>
              <w:spacing w:before="20" w:after="40" w:line="269" w:lineRule="auto"/>
              <w:jc w:val="right"/>
            </w:pPr>
            <w:r/>
            <w:r>
              <w:rPr>
                <w:rFonts w:ascii="Arial" w:hAnsi="Arial" w:cs="Arial" w:eastAsia="Arial"/>
                <w:b/>
                <w:color w:val="FFFFFF"/>
                <w:sz w:val="20"/>
                <w:rtl/>
                <w:szCs w:val="20"/>
              </w:rPr>
              <w:t>הפרט</w:t>
            </w:r>
          </w:p>
        </w:tc>
        <w:tc>
          <w:tcPr>
            <w:tcW w:type="dxa" w:w="4989"/>
            <w:tcMar>
              <w:top w:w="60" w:type="dxa"/>
              <w:bottom w:w="60" w:type="dxa"/>
              <w:right w:w="80" w:type="dxa"/>
              <w:left w:w="80" w:type="dxa"/>
            </w:tcMar>
            <w:shd w:fill="1E2A3E" w:val="clear"/>
          </w:tcPr>
          <w:p>
            <w:pPr>
              <w:bidi w:val="1"/>
              <w:spacing w:before="20" w:after="40" w:line="269" w:lineRule="auto"/>
              <w:jc w:val="right"/>
            </w:pPr>
            <w:r/>
            <w:r>
              <w:rPr>
                <w:rFonts w:ascii="Arial" w:hAnsi="Arial" w:cs="Arial" w:eastAsia="Arial"/>
                <w:b/>
                <w:color w:val="FFFFFF"/>
                <w:sz w:val="20"/>
                <w:rtl/>
                <w:szCs w:val="20"/>
              </w:rPr>
              <w:t>הרישום</w:t>
            </w:r>
          </w:p>
        </w:tc>
      </w:tr>
      <w:tr>
        <w:trPr>
          <w:cantSplit/>
        </w:trPr>
        <w:tc>
          <w:tcPr>
            <w:tcW w:type="dxa" w:w="4989"/>
            <w:tcMar>
              <w:top w:w="60" w:type="dxa"/>
              <w:bottom w:w="60" w:type="dxa"/>
              <w:right w:w="80" w:type="dxa"/>
              <w:left w:w="80" w:type="dxa"/>
            </w:tcMar>
            <w:shd w:fill="F4F6F8" w:val="clear"/>
          </w:tcPr>
          <w:p>
            <w:pPr>
              <w:bidi w:val="1"/>
              <w:spacing w:before="20" w:after="40" w:line="269" w:lineRule="auto"/>
              <w:jc w:val="right"/>
            </w:pPr>
            <w:r/>
            <w:r>
              <w:rPr>
                <w:rFonts w:ascii="Arial" w:hAnsi="Arial" w:cs="Arial" w:eastAsia="Arial"/>
                <w:b w:val="0"/>
                <w:sz w:val="20"/>
                <w:rtl/>
                <w:szCs w:val="20"/>
              </w:rPr>
              <w:t>המזמין</w:t>
            </w:r>
          </w:p>
        </w:tc>
        <w:tc>
          <w:tcPr>
            <w:tcW w:type="dxa" w:w="4989"/>
            <w:tcMar>
              <w:top w:w="60" w:type="dxa"/>
              <w:bottom w:w="60" w:type="dxa"/>
              <w:right w:w="80" w:type="dxa"/>
              <w:left w:w="80" w:type="dxa"/>
            </w:tcMar>
            <w:shd w:fill="F4F6F8" w:val="clear"/>
          </w:tcPr>
          <w:p>
            <w:pPr>
              <w:bidi w:val="1"/>
              <w:spacing w:before="20" w:after="40" w:line="269" w:lineRule="auto"/>
              <w:jc w:val="right"/>
            </w:pPr>
            <w:r/>
            <w:r>
              <w:rPr>
                <w:rFonts w:ascii="Arial" w:hAnsi="Arial" w:cs="Arial" w:eastAsia="Arial"/>
                <w:b w:val="0"/>
                <w:sz w:val="20"/>
                <w:rtl/>
                <w:szCs w:val="20"/>
              </w:rPr>
              <w:t>אביתר</w:t>
            </w:r>
          </w:p>
        </w:tc>
      </w:tr>
      <w:tr>
        <w:trPr>
          <w:cantSplit/>
        </w:trPr>
        <w:tc>
          <w:tcPr>
            <w:tcW w:type="dxa" w:w="4989"/>
            <w:tcMar>
              <w:top w:w="60" w:type="dxa"/>
              <w:bottom w:w="60" w:type="dxa"/>
              <w:right w:w="80" w:type="dxa"/>
              <w:left w:w="80" w:type="dxa"/>
            </w:tcMar>
          </w:tcPr>
          <w:p>
            <w:pPr>
              <w:bidi w:val="1"/>
              <w:spacing w:before="20" w:after="40" w:line="269" w:lineRule="auto"/>
              <w:jc w:val="right"/>
            </w:pPr>
            <w:r/>
            <w:r>
              <w:rPr>
                <w:rFonts w:ascii="Arial" w:hAnsi="Arial" w:cs="Arial" w:eastAsia="Arial"/>
                <w:b w:val="0"/>
                <w:sz w:val="20"/>
                <w:rtl/>
                <w:szCs w:val="20"/>
              </w:rPr>
              <w:t>נותן השירות</w:t>
            </w:r>
          </w:p>
        </w:tc>
        <w:tc>
          <w:tcPr>
            <w:tcW w:type="dxa" w:w="4989"/>
            <w:tcMar>
              <w:top w:w="60" w:type="dxa"/>
              <w:bottom w:w="60" w:type="dxa"/>
              <w:right w:w="80" w:type="dxa"/>
              <w:left w:w="80" w:type="dxa"/>
            </w:tcMar>
          </w:tcPr>
          <w:p>
            <w:pPr>
              <w:bidi w:val="1"/>
              <w:spacing w:before="20" w:after="40" w:line="269" w:lineRule="auto"/>
              <w:jc w:val="right"/>
            </w:pPr>
            <w:r/>
            <w:r>
              <w:rPr>
                <w:rFonts w:ascii="Arial" w:hAnsi="Arial" w:cs="Arial" w:eastAsia="Arial"/>
                <w:b w:val="0"/>
                <w:sz w:val="20"/>
                <w:rtl/>
                <w:szCs w:val="20"/>
              </w:rPr>
              <w:t>שליו</w:t>
            </w:r>
          </w:p>
        </w:tc>
      </w:tr>
      <w:tr>
        <w:trPr>
          <w:cantSplit/>
        </w:trPr>
        <w:tc>
          <w:tcPr>
            <w:tcW w:type="dxa" w:w="4989"/>
            <w:tcMar>
              <w:top w:w="60" w:type="dxa"/>
              <w:bottom w:w="60" w:type="dxa"/>
              <w:right w:w="80" w:type="dxa"/>
              <w:left w:w="80" w:type="dxa"/>
            </w:tcMar>
            <w:shd w:fill="F4F6F8" w:val="clear"/>
          </w:tcPr>
          <w:p>
            <w:pPr>
              <w:bidi w:val="1"/>
              <w:spacing w:before="20" w:after="40" w:line="269" w:lineRule="auto"/>
              <w:jc w:val="right"/>
            </w:pPr>
            <w:r/>
            <w:r>
              <w:rPr>
                <w:rFonts w:ascii="Arial" w:hAnsi="Arial" w:cs="Arial" w:eastAsia="Arial"/>
                <w:b w:val="0"/>
                <w:sz w:val="20"/>
                <w:rtl/>
                <w:szCs w:val="20"/>
              </w:rPr>
              <w:t>האפליקציה</w:t>
            </w:r>
          </w:p>
        </w:tc>
        <w:tc>
          <w:tcPr>
            <w:tcW w:type="dxa" w:w="4989"/>
            <w:tcMar>
              <w:top w:w="60" w:type="dxa"/>
              <w:bottom w:w="60" w:type="dxa"/>
              <w:right w:w="80" w:type="dxa"/>
              <w:left w:w="80" w:type="dxa"/>
            </w:tcMar>
            <w:shd w:fill="F4F6F8" w:val="clear"/>
          </w:tcPr>
          <w:p>
            <w:pPr>
              <w:bidi w:val="1"/>
              <w:spacing w:before="20" w:after="40" w:line="269" w:lineRule="auto"/>
              <w:jc w:val="right"/>
            </w:pPr>
            <w:r/>
            <w:r>
              <w:rPr>
                <w:rFonts w:ascii="Arial" w:hAnsi="Arial" w:cs="Arial" w:eastAsia="Arial"/>
                <w:b w:val="0"/>
                <w:sz w:val="20"/>
                <w:rtl/>
                <w:szCs w:val="20"/>
              </w:rPr>
              <w:t>Failrail</w:t>
            </w:r>
          </w:p>
        </w:tc>
      </w:tr>
      <w:tr>
        <w:trPr>
          <w:cantSplit/>
        </w:trPr>
        <w:tc>
          <w:tcPr>
            <w:tcW w:type="dxa" w:w="4989"/>
            <w:tcMar>
              <w:top w:w="60" w:type="dxa"/>
              <w:bottom w:w="60" w:type="dxa"/>
              <w:right w:w="80" w:type="dxa"/>
              <w:left w:w="80" w:type="dxa"/>
            </w:tcMar>
          </w:tcPr>
          <w:p>
            <w:pPr>
              <w:bidi w:val="1"/>
              <w:spacing w:before="20" w:after="40" w:line="269" w:lineRule="auto"/>
              <w:jc w:val="right"/>
            </w:pPr>
            <w:r/>
            <w:r>
              <w:rPr>
                <w:rFonts w:ascii="Arial" w:hAnsi="Arial" w:cs="Arial" w:eastAsia="Arial"/>
                <w:b w:val="0"/>
                <w:sz w:val="20"/>
                <w:rtl/>
                <w:szCs w:val="20"/>
              </w:rPr>
              <w:t>שם הקמפיין</w:t>
            </w:r>
          </w:p>
        </w:tc>
        <w:tc>
          <w:tcPr>
            <w:tcW w:type="dxa" w:w="4989"/>
            <w:tcMar>
              <w:top w:w="60" w:type="dxa"/>
              <w:bottom w:w="60" w:type="dxa"/>
              <w:right w:w="80" w:type="dxa"/>
              <w:left w:w="80" w:type="dxa"/>
            </w:tcMar>
          </w:tcPr>
          <w:p>
            <w:pPr>
              <w:bidi w:val="1"/>
              <w:spacing w:before="20" w:after="40" w:line="269" w:lineRule="auto"/>
              <w:jc w:val="right"/>
            </w:pPr>
            <w:r/>
            <w:r>
              <w:rPr>
                <w:rFonts w:ascii="Arial" w:hAnsi="Arial" w:cs="Arial" w:eastAsia="Arial"/>
                <w:b w:val="0"/>
                <w:sz w:val="20"/>
                <w:rtl/>
                <w:szCs w:val="20"/>
              </w:rPr>
              <w:t>גיוס המונים לשחרור הבטא של אפליקציית Failrail</w:t>
            </w:r>
          </w:p>
        </w:tc>
      </w:tr>
      <w:tr>
        <w:trPr>
          <w:cantSplit/>
        </w:trPr>
        <w:tc>
          <w:tcPr>
            <w:tcW w:type="dxa" w:w="4989"/>
            <w:tcMar>
              <w:top w:w="60" w:type="dxa"/>
              <w:bottom w:w="60" w:type="dxa"/>
              <w:right w:w="80" w:type="dxa"/>
              <w:left w:w="80" w:type="dxa"/>
            </w:tcMar>
            <w:shd w:fill="F4F6F8" w:val="clear"/>
          </w:tcPr>
          <w:p>
            <w:pPr>
              <w:bidi w:val="1"/>
              <w:spacing w:before="20" w:after="40" w:line="269" w:lineRule="auto"/>
              <w:jc w:val="right"/>
            </w:pPr>
            <w:r/>
            <w:r>
              <w:rPr>
                <w:rFonts w:ascii="Arial" w:hAnsi="Arial" w:cs="Arial" w:eastAsia="Arial"/>
                <w:b w:val="0"/>
                <w:sz w:val="20"/>
                <w:rtl/>
                <w:szCs w:val="20"/>
              </w:rPr>
              <w:t>מטרת הגיוס</w:t>
            </w:r>
          </w:p>
        </w:tc>
        <w:tc>
          <w:tcPr>
            <w:tcW w:type="dxa" w:w="4989"/>
            <w:tcMar>
              <w:top w:w="60" w:type="dxa"/>
              <w:bottom w:w="60" w:type="dxa"/>
              <w:right w:w="80" w:type="dxa"/>
              <w:left w:w="80" w:type="dxa"/>
            </w:tcMar>
            <w:shd w:fill="F4F6F8" w:val="clear"/>
          </w:tcPr>
          <w:p>
            <w:pPr>
              <w:bidi w:val="1"/>
              <w:spacing w:before="20" w:after="40" w:line="269" w:lineRule="auto"/>
              <w:jc w:val="right"/>
            </w:pPr>
            <w:r/>
            <w:r>
              <w:rPr>
                <w:rFonts w:ascii="Arial" w:hAnsi="Arial" w:cs="Arial" w:eastAsia="Arial"/>
                <w:b w:val="0"/>
                <w:sz w:val="20"/>
                <w:rtl/>
                <w:szCs w:val="20"/>
              </w:rPr>
              <w:t>שחרור גרסת הבטא. לא השקעה, לא מניה, לא אסימון ולא חלק ברווחים</w:t>
            </w:r>
          </w:p>
        </w:tc>
      </w:tr>
      <w:tr>
        <w:trPr>
          <w:cantSplit/>
        </w:trPr>
        <w:tc>
          <w:tcPr>
            <w:tcW w:type="dxa" w:w="4989"/>
            <w:tcMar>
              <w:top w:w="60" w:type="dxa"/>
              <w:bottom w:w="60" w:type="dxa"/>
              <w:right w:w="80" w:type="dxa"/>
              <w:left w:w="80" w:type="dxa"/>
            </w:tcMar>
          </w:tcPr>
          <w:p>
            <w:pPr>
              <w:bidi w:val="1"/>
              <w:spacing w:before="20" w:after="40" w:line="269" w:lineRule="auto"/>
              <w:jc w:val="right"/>
            </w:pPr>
            <w:r/>
            <w:r>
              <w:rPr>
                <w:rFonts w:ascii="Arial" w:hAnsi="Arial" w:cs="Arial" w:eastAsia="Arial"/>
                <w:b w:val="0"/>
                <w:sz w:val="20"/>
                <w:rtl/>
                <w:szCs w:val="20"/>
              </w:rPr>
              <w:t>הפלטפורמה</w:t>
            </w:r>
          </w:p>
        </w:tc>
        <w:tc>
          <w:tcPr>
            <w:tcW w:type="dxa" w:w="4989"/>
            <w:tcMar>
              <w:top w:w="60" w:type="dxa"/>
              <w:bottom w:w="60" w:type="dxa"/>
              <w:right w:w="80" w:type="dxa"/>
              <w:left w:w="80" w:type="dxa"/>
            </w:tcMar>
          </w:tcPr>
          <w:p>
            <w:pPr>
              <w:bidi w:val="1"/>
              <w:spacing w:before="20" w:after="40" w:line="269" w:lineRule="auto"/>
              <w:jc w:val="right"/>
            </w:pPr>
            <w:r/>
            <w:r>
              <w:rPr>
                <w:rFonts w:ascii="Arial" w:hAnsi="Arial" w:cs="Arial" w:eastAsia="Arial"/>
                <w:b w:val="0"/>
                <w:sz w:val="20"/>
                <w:rtl/>
                <w:szCs w:val="20"/>
              </w:rPr>
              <w:t>Ko-fi</w:t>
            </w:r>
          </w:p>
        </w:tc>
      </w:tr>
      <w:tr>
        <w:trPr>
          <w:cantSplit/>
        </w:trPr>
        <w:tc>
          <w:tcPr>
            <w:tcW w:type="dxa" w:w="4989"/>
            <w:tcMar>
              <w:top w:w="60" w:type="dxa"/>
              <w:bottom w:w="60" w:type="dxa"/>
              <w:right w:w="80" w:type="dxa"/>
              <w:left w:w="80" w:type="dxa"/>
            </w:tcMar>
            <w:shd w:fill="F4F6F8" w:val="clear"/>
          </w:tcPr>
          <w:p>
            <w:pPr>
              <w:bidi w:val="1"/>
              <w:spacing w:before="20" w:after="40" w:line="269" w:lineRule="auto"/>
              <w:jc w:val="right"/>
            </w:pPr>
            <w:r/>
            <w:r>
              <w:rPr>
                <w:rFonts w:ascii="Arial" w:hAnsi="Arial" w:cs="Arial" w:eastAsia="Arial"/>
                <w:b w:val="0"/>
                <w:sz w:val="20"/>
                <w:rtl/>
                <w:szCs w:val="20"/>
              </w:rPr>
              <w:t>כתובת העמוד</w:t>
            </w:r>
          </w:p>
        </w:tc>
        <w:tc>
          <w:tcPr>
            <w:tcW w:type="dxa" w:w="4989"/>
            <w:tcMar>
              <w:top w:w="60" w:type="dxa"/>
              <w:bottom w:w="60" w:type="dxa"/>
              <w:right w:w="80" w:type="dxa"/>
              <w:left w:w="80" w:type="dxa"/>
            </w:tcMar>
            <w:shd w:fill="F4F6F8" w:val="clear"/>
          </w:tcPr>
          <w:p>
            <w:pPr>
              <w:bidi w:val="1"/>
              <w:spacing w:before="20" w:after="40" w:line="269" w:lineRule="auto"/>
              <w:jc w:val="right"/>
            </w:pPr>
            <w:r/>
            <w:r>
              <w:rPr>
                <w:rFonts w:ascii="Arial" w:hAnsi="Arial" w:cs="Arial" w:eastAsia="Arial"/>
                <w:b w:val="0"/>
                <w:sz w:val="20"/>
                <w:rtl/>
                <w:szCs w:val="20"/>
              </w:rPr>
              <w:t>תושלם לפני הפרסום הראשון: ________________________</w:t>
            </w:r>
          </w:p>
        </w:tc>
      </w:tr>
      <w:tr>
        <w:trPr>
          <w:cantSplit/>
        </w:trPr>
        <w:tc>
          <w:tcPr>
            <w:tcW w:type="dxa" w:w="4989"/>
            <w:tcMar>
              <w:top w:w="60" w:type="dxa"/>
              <w:bottom w:w="60" w:type="dxa"/>
              <w:right w:w="80" w:type="dxa"/>
              <w:left w:w="80" w:type="dxa"/>
            </w:tcMar>
          </w:tcPr>
          <w:p>
            <w:pPr>
              <w:bidi w:val="1"/>
              <w:spacing w:before="20" w:after="40" w:line="269" w:lineRule="auto"/>
              <w:jc w:val="right"/>
            </w:pPr>
            <w:r/>
            <w:r>
              <w:rPr>
                <w:rFonts w:ascii="Arial" w:hAnsi="Arial" w:cs="Arial" w:eastAsia="Arial"/>
                <w:b w:val="0"/>
                <w:sz w:val="20"/>
                <w:rtl/>
                <w:szCs w:val="20"/>
              </w:rPr>
              <w:t>תאריך עלייה</w:t>
            </w:r>
          </w:p>
        </w:tc>
        <w:tc>
          <w:tcPr>
            <w:tcW w:type="dxa" w:w="4989"/>
            <w:tcMar>
              <w:top w:w="60" w:type="dxa"/>
              <w:bottom w:w="60" w:type="dxa"/>
              <w:right w:w="80" w:type="dxa"/>
              <w:left w:w="80" w:type="dxa"/>
            </w:tcMar>
          </w:tcPr>
          <w:p>
            <w:pPr>
              <w:bidi w:val="1"/>
              <w:spacing w:before="20" w:after="40" w:line="269" w:lineRule="auto"/>
              <w:jc w:val="right"/>
            </w:pPr>
            <w:r/>
            <w:r>
              <w:rPr>
                <w:rFonts w:ascii="Arial" w:hAnsi="Arial" w:cs="Arial" w:eastAsia="Arial"/>
                <w:b w:val="0"/>
                <w:sz w:val="20"/>
                <w:rtl/>
                <w:szCs w:val="20"/>
              </w:rPr>
              <w:t>________________</w:t>
            </w:r>
          </w:p>
        </w:tc>
      </w:tr>
      <w:tr>
        <w:trPr>
          <w:cantSplit/>
        </w:trPr>
        <w:tc>
          <w:tcPr>
            <w:tcW w:type="dxa" w:w="4989"/>
            <w:tcMar>
              <w:top w:w="60" w:type="dxa"/>
              <w:bottom w:w="60" w:type="dxa"/>
              <w:right w:w="80" w:type="dxa"/>
              <w:left w:w="80" w:type="dxa"/>
            </w:tcMar>
            <w:shd w:fill="F4F6F8" w:val="clear"/>
          </w:tcPr>
          <w:p>
            <w:pPr>
              <w:bidi w:val="1"/>
              <w:spacing w:before="20" w:after="40" w:line="269" w:lineRule="auto"/>
              <w:jc w:val="right"/>
            </w:pPr>
            <w:r/>
            <w:r>
              <w:rPr>
                <w:rFonts w:ascii="Arial" w:hAnsi="Arial" w:cs="Arial" w:eastAsia="Arial"/>
                <w:b w:val="0"/>
                <w:sz w:val="20"/>
                <w:rtl/>
                <w:szCs w:val="20"/>
              </w:rPr>
              <w:t>תאריך סיום</w:t>
            </w:r>
          </w:p>
        </w:tc>
        <w:tc>
          <w:tcPr>
            <w:tcW w:type="dxa" w:w="4989"/>
            <w:tcMar>
              <w:top w:w="60" w:type="dxa"/>
              <w:bottom w:w="60" w:type="dxa"/>
              <w:right w:w="80" w:type="dxa"/>
              <w:left w:w="80" w:type="dxa"/>
            </w:tcMar>
            <w:shd w:fill="F4F6F8" w:val="clear"/>
          </w:tcPr>
          <w:p>
            <w:pPr>
              <w:bidi w:val="1"/>
              <w:spacing w:before="20" w:after="40" w:line="269" w:lineRule="auto"/>
              <w:jc w:val="right"/>
            </w:pPr>
            <w:r/>
            <w:r>
              <w:rPr>
                <w:rFonts w:ascii="Arial" w:hAnsi="Arial" w:cs="Arial" w:eastAsia="Arial"/>
                <w:b w:val="0"/>
                <w:sz w:val="20"/>
                <w:rtl/>
                <w:szCs w:val="20"/>
              </w:rPr>
              <w:t>________________</w:t>
            </w:r>
          </w:p>
        </w:tc>
      </w:tr>
      <w:tr>
        <w:trPr>
          <w:cantSplit/>
        </w:trPr>
        <w:tc>
          <w:tcPr>
            <w:tcW w:type="dxa" w:w="4989"/>
            <w:tcMar>
              <w:top w:w="60" w:type="dxa"/>
              <w:bottom w:w="60" w:type="dxa"/>
              <w:right w:w="80" w:type="dxa"/>
              <w:left w:w="80" w:type="dxa"/>
            </w:tcMar>
          </w:tcPr>
          <w:p>
            <w:pPr>
              <w:bidi w:val="1"/>
              <w:spacing w:before="20" w:after="40" w:line="269" w:lineRule="auto"/>
              <w:jc w:val="right"/>
            </w:pPr>
            <w:r/>
            <w:r>
              <w:rPr>
                <w:rFonts w:ascii="Arial" w:hAnsi="Arial" w:cs="Arial" w:eastAsia="Arial"/>
                <w:b w:val="0"/>
                <w:sz w:val="20"/>
                <w:rtl/>
                <w:szCs w:val="20"/>
              </w:rPr>
              <w:t>היעד</w:t>
            </w:r>
          </w:p>
        </w:tc>
        <w:tc>
          <w:tcPr>
            <w:tcW w:type="dxa" w:w="4989"/>
            <w:tcMar>
              <w:top w:w="60" w:type="dxa"/>
              <w:bottom w:w="60" w:type="dxa"/>
              <w:right w:w="80" w:type="dxa"/>
              <w:left w:w="80" w:type="dxa"/>
            </w:tcMar>
          </w:tcPr>
          <w:p>
            <w:pPr>
              <w:bidi w:val="1"/>
              <w:spacing w:before="20" w:after="40" w:line="269" w:lineRule="auto"/>
              <w:jc w:val="right"/>
            </w:pPr>
            <w:r/>
            <w:r>
              <w:rPr>
                <w:rFonts w:ascii="Arial" w:hAnsi="Arial" w:cs="Arial" w:eastAsia="Arial"/>
                <w:b w:val="0"/>
                <w:sz w:val="20"/>
                <w:rtl/>
                <w:szCs w:val="20"/>
              </w:rPr>
              <w:t>10,000 דולר ארה"ב ברוטו, כהגדרתו בהסכם</w:t>
            </w:r>
          </w:p>
        </w:tc>
      </w:tr>
      <w:tr>
        <w:trPr>
          <w:cantSplit/>
        </w:trPr>
        <w:tc>
          <w:tcPr>
            <w:tcW w:type="dxa" w:w="4989"/>
            <w:tcMar>
              <w:top w:w="60" w:type="dxa"/>
              <w:bottom w:w="60" w:type="dxa"/>
              <w:right w:w="80" w:type="dxa"/>
              <w:left w:w="80" w:type="dxa"/>
            </w:tcMar>
            <w:shd w:fill="F4F6F8" w:val="clear"/>
          </w:tcPr>
          <w:p>
            <w:pPr>
              <w:bidi w:val="1"/>
              <w:spacing w:before="20" w:after="40" w:line="269" w:lineRule="auto"/>
              <w:jc w:val="right"/>
            </w:pPr>
            <w:r/>
            <w:r>
              <w:rPr>
                <w:rFonts w:ascii="Arial" w:hAnsi="Arial" w:cs="Arial" w:eastAsia="Arial"/>
                <w:b w:val="0"/>
                <w:sz w:val="20"/>
                <w:rtl/>
                <w:szCs w:val="20"/>
              </w:rPr>
              <w:t>העמלה מתחת ליעד</w:t>
            </w:r>
          </w:p>
        </w:tc>
        <w:tc>
          <w:tcPr>
            <w:tcW w:type="dxa" w:w="4989"/>
            <w:tcMar>
              <w:top w:w="60" w:type="dxa"/>
              <w:bottom w:w="60" w:type="dxa"/>
              <w:right w:w="80" w:type="dxa"/>
              <w:left w:w="80" w:type="dxa"/>
            </w:tcMar>
            <w:shd w:fill="F4F6F8" w:val="clear"/>
          </w:tcPr>
          <w:p>
            <w:pPr>
              <w:bidi w:val="1"/>
              <w:spacing w:before="20" w:after="40" w:line="269" w:lineRule="auto"/>
              <w:jc w:val="right"/>
            </w:pPr>
            <w:r/>
            <w:r>
              <w:rPr>
                <w:rFonts w:ascii="Arial" w:hAnsi="Arial" w:cs="Arial" w:eastAsia="Arial"/>
                <w:b w:val="0"/>
                <w:sz w:val="20"/>
                <w:rtl/>
                <w:szCs w:val="20"/>
              </w:rPr>
              <w:t>5% מהנטו שנזקף בפועל. אם לא נזקף כלום: 0</w:t>
            </w:r>
          </w:p>
        </w:tc>
      </w:tr>
      <w:tr>
        <w:trPr>
          <w:cantSplit/>
        </w:trPr>
        <w:tc>
          <w:tcPr>
            <w:tcW w:type="dxa" w:w="4989"/>
            <w:tcMar>
              <w:top w:w="60" w:type="dxa"/>
              <w:bottom w:w="60" w:type="dxa"/>
              <w:right w:w="80" w:type="dxa"/>
              <w:left w:w="80" w:type="dxa"/>
            </w:tcMar>
          </w:tcPr>
          <w:p>
            <w:pPr>
              <w:bidi w:val="1"/>
              <w:spacing w:before="20" w:after="40" w:line="269" w:lineRule="auto"/>
              <w:jc w:val="right"/>
            </w:pPr>
            <w:r/>
            <w:r>
              <w:rPr>
                <w:rFonts w:ascii="Arial" w:hAnsi="Arial" w:cs="Arial" w:eastAsia="Arial"/>
                <w:b w:val="0"/>
                <w:sz w:val="20"/>
                <w:rtl/>
                <w:szCs w:val="20"/>
              </w:rPr>
              <w:t>העמלה בהגעה ליעד</w:t>
            </w:r>
          </w:p>
        </w:tc>
        <w:tc>
          <w:tcPr>
            <w:tcW w:type="dxa" w:w="4989"/>
            <w:tcMar>
              <w:top w:w="60" w:type="dxa"/>
              <w:bottom w:w="60" w:type="dxa"/>
              <w:right w:w="80" w:type="dxa"/>
              <w:left w:w="80" w:type="dxa"/>
            </w:tcMar>
          </w:tcPr>
          <w:p>
            <w:pPr>
              <w:bidi w:val="1"/>
              <w:spacing w:before="20" w:after="40" w:line="269" w:lineRule="auto"/>
              <w:jc w:val="right"/>
            </w:pPr>
            <w:r/>
            <w:r>
              <w:rPr>
                <w:rFonts w:ascii="Arial" w:hAnsi="Arial" w:cs="Arial" w:eastAsia="Arial"/>
                <w:b w:val="0"/>
                <w:sz w:val="20"/>
                <w:rtl/>
                <w:szCs w:val="20"/>
              </w:rPr>
              <w:t>10% מהנטו המיוחס ל-10,000 הדולר הראשונים, ולא יותר מ-1,000 דולר</w:t>
            </w:r>
          </w:p>
        </w:tc>
      </w:tr>
      <w:tr>
        <w:trPr>
          <w:cantSplit/>
        </w:trPr>
        <w:tc>
          <w:tcPr>
            <w:tcW w:type="dxa" w:w="4989"/>
            <w:tcMar>
              <w:top w:w="60" w:type="dxa"/>
              <w:bottom w:w="60" w:type="dxa"/>
              <w:right w:w="80" w:type="dxa"/>
              <w:left w:w="80" w:type="dxa"/>
            </w:tcMar>
            <w:shd w:fill="F4F6F8" w:val="clear"/>
          </w:tcPr>
          <w:p>
            <w:pPr>
              <w:bidi w:val="1"/>
              <w:spacing w:before="20" w:after="40" w:line="269" w:lineRule="auto"/>
              <w:jc w:val="right"/>
            </w:pPr>
            <w:r/>
            <w:r>
              <w:rPr>
                <w:rFonts w:ascii="Arial" w:hAnsi="Arial" w:cs="Arial" w:eastAsia="Arial"/>
                <w:b w:val="0"/>
                <w:sz w:val="20"/>
                <w:rtl/>
                <w:szCs w:val="20"/>
              </w:rPr>
              <w:t>מטבע החישוב</w:t>
            </w:r>
          </w:p>
        </w:tc>
        <w:tc>
          <w:tcPr>
            <w:tcW w:type="dxa" w:w="4989"/>
            <w:tcMar>
              <w:top w:w="60" w:type="dxa"/>
              <w:bottom w:w="60" w:type="dxa"/>
              <w:right w:w="80" w:type="dxa"/>
              <w:left w:w="80" w:type="dxa"/>
            </w:tcMar>
            <w:shd w:fill="F4F6F8" w:val="clear"/>
          </w:tcPr>
          <w:p>
            <w:pPr>
              <w:bidi w:val="1"/>
              <w:spacing w:before="20" w:after="40" w:line="269" w:lineRule="auto"/>
              <w:jc w:val="right"/>
            </w:pPr>
            <w:r/>
            <w:r>
              <w:rPr>
                <w:rFonts w:ascii="Arial" w:hAnsi="Arial" w:cs="Arial" w:eastAsia="Arial"/>
                <w:b w:val="0"/>
                <w:sz w:val="20"/>
                <w:rtl/>
                <w:szCs w:val="20"/>
              </w:rPr>
              <w:t>דולר ארה"ב. המרה לפי סעיף 2.7 אם הזיכוי אינו בדולר</w:t>
            </w:r>
          </w:p>
        </w:tc>
      </w:tr>
      <w:tr>
        <w:trPr>
          <w:cantSplit/>
        </w:trPr>
        <w:tc>
          <w:tcPr>
            <w:tcW w:type="dxa" w:w="4989"/>
            <w:tcMar>
              <w:top w:w="60" w:type="dxa"/>
              <w:bottom w:w="60" w:type="dxa"/>
              <w:right w:w="80" w:type="dxa"/>
              <w:left w:w="80" w:type="dxa"/>
            </w:tcMar>
          </w:tcPr>
          <w:p>
            <w:pPr>
              <w:bidi w:val="1"/>
              <w:spacing w:before="20" w:after="40" w:line="269" w:lineRule="auto"/>
              <w:jc w:val="right"/>
            </w:pPr>
            <w:r/>
            <w:r>
              <w:rPr>
                <w:rFonts w:ascii="Arial" w:hAnsi="Arial" w:cs="Arial" w:eastAsia="Arial"/>
                <w:b w:val="0"/>
                <w:sz w:val="20"/>
                <w:rtl/>
                <w:szCs w:val="20"/>
              </w:rPr>
              <w:t>חשבון הזיכוי</w:t>
            </w:r>
          </w:p>
        </w:tc>
        <w:tc>
          <w:tcPr>
            <w:tcW w:type="dxa" w:w="4989"/>
            <w:tcMar>
              <w:top w:w="60" w:type="dxa"/>
              <w:bottom w:w="60" w:type="dxa"/>
              <w:right w:w="80" w:type="dxa"/>
              <w:left w:w="80" w:type="dxa"/>
            </w:tcMar>
          </w:tcPr>
          <w:p>
            <w:pPr>
              <w:bidi w:val="1"/>
              <w:spacing w:before="20" w:after="40" w:line="269" w:lineRule="auto"/>
              <w:jc w:val="right"/>
            </w:pPr>
            <w:r/>
            <w:r>
              <w:rPr>
                <w:rFonts w:ascii="Arial" w:hAnsi="Arial" w:cs="Arial" w:eastAsia="Arial"/>
                <w:b w:val="0"/>
                <w:sz w:val="20"/>
                <w:rtl/>
                <w:szCs w:val="20"/>
              </w:rPr>
              <w:t>ארבע ספרות אחרונות: ________</w:t>
            </w:r>
          </w:p>
        </w:tc>
      </w:tr>
      <w:tr>
        <w:trPr>
          <w:cantSplit/>
        </w:trPr>
        <w:tc>
          <w:tcPr>
            <w:tcW w:type="dxa" w:w="4989"/>
            <w:tcMar>
              <w:top w:w="60" w:type="dxa"/>
              <w:bottom w:w="60" w:type="dxa"/>
              <w:right w:w="80" w:type="dxa"/>
              <w:left w:w="80" w:type="dxa"/>
            </w:tcMar>
            <w:shd w:fill="F4F6F8" w:val="clear"/>
          </w:tcPr>
          <w:p>
            <w:pPr>
              <w:bidi w:val="1"/>
              <w:spacing w:before="20" w:after="40" w:line="269" w:lineRule="auto"/>
              <w:jc w:val="right"/>
            </w:pPr>
            <w:r/>
            <w:r>
              <w:rPr>
                <w:rFonts w:ascii="Arial" w:hAnsi="Arial" w:cs="Arial" w:eastAsia="Arial"/>
                <w:b w:val="0"/>
                <w:sz w:val="20"/>
                <w:rtl/>
                <w:szCs w:val="20"/>
              </w:rPr>
              <w:t>המדיות</w:t>
            </w:r>
          </w:p>
        </w:tc>
        <w:tc>
          <w:tcPr>
            <w:tcW w:type="dxa" w:w="4989"/>
            <w:tcMar>
              <w:top w:w="60" w:type="dxa"/>
              <w:bottom w:w="60" w:type="dxa"/>
              <w:right w:w="80" w:type="dxa"/>
              <w:left w:w="80" w:type="dxa"/>
            </w:tcMar>
            <w:shd w:fill="F4F6F8" w:val="clear"/>
          </w:tcPr>
          <w:p>
            <w:pPr>
              <w:bidi w:val="1"/>
              <w:spacing w:before="20" w:after="40" w:line="269" w:lineRule="auto"/>
              <w:jc w:val="right"/>
            </w:pPr>
            <w:r/>
            <w:r>
              <w:rPr>
                <w:rFonts w:ascii="Arial" w:hAnsi="Arial" w:cs="Arial" w:eastAsia="Arial"/>
                <w:b w:val="0"/>
                <w:sz w:val="20"/>
                <w:rtl/>
                <w:szCs w:val="20"/>
              </w:rPr>
              <w:t>אינסטגרם, טיקטוק, פייסבוק, וכל מדיה חברתית נוספת. עמלה אחת לכולן</w:t>
            </w:r>
          </w:p>
        </w:tc>
      </w:tr>
    </w:tbl>
    <w:p/>
    <w:p>
      <w:pPr>
        <w:bidi w:val="1"/>
        <w:spacing w:before="200" w:after="80" w:line="269" w:lineRule="auto"/>
        <w:jc w:val="right"/>
      </w:pPr>
      <w:r>
        <w:rPr>
          <w:rFonts w:ascii="Arial" w:hAnsi="Arial" w:cs="Arial" w:eastAsia="Arial"/>
          <w:b/>
          <w:color w:val="1E2A3E"/>
          <w:sz w:val="28"/>
          <w:rtl/>
          <w:szCs w:val="28"/>
        </w:rPr>
        <w:t>נספח ב. אישור הנוסחה, לחתימה נפרדת</w:t>
      </w:r>
    </w:p>
    <w:p>
      <w:pPr>
        <w:bidi w:val="1"/>
        <w:spacing w:before="0" w:after="80" w:line="269" w:lineRule="auto"/>
        <w:jc w:val="right"/>
      </w:pPr>
      <w:r>
        <w:rPr>
          <w:rFonts w:ascii="Arial" w:hAnsi="Arial" w:cs="Arial" w:eastAsia="Arial"/>
          <w:b w:val="0"/>
          <w:sz w:val="22"/>
          <w:rtl/>
          <w:szCs w:val="22"/>
        </w:rPr>
        <w:t>נותן השירות מאשר בחתימתו על נספח זה את שלוש השורות האלה. החתימה מאשרת שהבין. היא אינה משנה את סעיף 4, וסעיף 4 גובר אם יש סתירה.</w:t>
      </w:r>
    </w:p>
    <w:p>
      <w:pPr>
        <w:bidi w:val="1"/>
        <w:spacing w:before="0" w:after="40" w:line="269" w:lineRule="auto"/>
        <w:jc w:val="right"/>
      </w:pPr>
      <w:r>
        <w:rPr>
          <w:rFonts w:ascii="Arial" w:hAnsi="Arial" w:cs="Arial" w:eastAsia="Arial"/>
          <w:b w:val="0"/>
          <w:sz w:val="22"/>
          <w:rtl/>
          <w:szCs w:val="22"/>
        </w:rPr>
        <w:t>•  לא הגענו ל-10,000 דולר ברוטו: חמישה אחוזים מהנטו שנכנס לבנק. אם הפלטפורמה לא שחררה כסף: אפס.</w:t>
      </w:r>
    </w:p>
    <w:p>
      <w:pPr>
        <w:bidi w:val="1"/>
        <w:spacing w:before="0" w:after="40" w:line="269" w:lineRule="auto"/>
        <w:jc w:val="right"/>
      </w:pPr>
      <w:r>
        <w:rPr>
          <w:rFonts w:ascii="Arial" w:hAnsi="Arial" w:cs="Arial" w:eastAsia="Arial"/>
          <w:b w:val="0"/>
          <w:sz w:val="22"/>
          <w:rtl/>
          <w:szCs w:val="22"/>
        </w:rPr>
        <w:t>•  הגענו או עברנו: עשרה אחוזים רק מהחלק של הנטו ששייך ל-10,000 הדולר הראשונים. על כל דולר מעל היעד: אפס.</w:t>
      </w:r>
    </w:p>
    <w:p>
      <w:pPr>
        <w:bidi w:val="1"/>
        <w:spacing w:before="0" w:after="40" w:line="269" w:lineRule="auto"/>
        <w:jc w:val="right"/>
      </w:pPr>
      <w:r>
        <w:rPr>
          <w:rFonts w:ascii="Arial" w:hAnsi="Arial" w:cs="Arial" w:eastAsia="Arial"/>
          <w:b w:val="0"/>
          <w:sz w:val="22"/>
          <w:rtl/>
          <w:szCs w:val="22"/>
        </w:rPr>
        <w:t>•  גם אז, לא יותר מ-1,000 דולר לפני מע"מ. התקרה אינה סכום מובטח.</w:t>
      </w:r>
    </w:p>
    <w:p>
      <w:pPr>
        <w:bidi w:val="1"/>
        <w:spacing w:before="0" w:after="60" w:line="269" w:lineRule="auto"/>
        <w:jc w:val="right"/>
      </w:pPr>
      <w:r>
        <w:rPr>
          <w:rFonts w:ascii="Arial" w:hAnsi="Arial" w:cs="Arial" w:eastAsia="Arial"/>
          <w:b w:val="0"/>
          <w:sz w:val="22"/>
          <w:rtl/>
          <w:szCs w:val="22"/>
        </w:rPr>
      </w:r>
    </w:p>
    <w:p>
      <w:pPr>
        <w:bidi w:val="1"/>
        <w:spacing w:before="0" w:after="80" w:line="269" w:lineRule="auto"/>
        <w:jc w:val="right"/>
      </w:pPr>
      <w:r>
        <w:rPr>
          <w:rFonts w:ascii="Arial" w:hAnsi="Arial" w:cs="Arial" w:eastAsia="Arial"/>
          <w:b/>
          <w:sz w:val="22"/>
          <w:rtl/>
          <w:szCs w:val="22"/>
        </w:rPr>
        <w:t>שם נותן השירות: שליו</w:t>
      </w:r>
    </w:p>
    <w:p>
      <w:pPr>
        <w:bidi w:val="1"/>
        <w:spacing w:before="0" w:after="80" w:line="269" w:lineRule="auto"/>
        <w:jc w:val="right"/>
      </w:pPr>
      <w:r>
        <w:rPr>
          <w:rFonts w:ascii="Arial" w:hAnsi="Arial" w:cs="Arial" w:eastAsia="Arial"/>
          <w:b w:val="0"/>
          <w:sz w:val="22"/>
          <w:rtl/>
          <w:szCs w:val="22"/>
        </w:rPr>
        <w:t>חתימה: ________________________________</w:t>
      </w:r>
    </w:p>
    <w:p>
      <w:pPr>
        <w:bidi w:val="1"/>
        <w:spacing w:before="0" w:after="80" w:line="269" w:lineRule="auto"/>
        <w:jc w:val="right"/>
      </w:pPr>
      <w:r>
        <w:rPr>
          <w:rFonts w:ascii="Arial" w:hAnsi="Arial" w:cs="Arial" w:eastAsia="Arial"/>
          <w:b w:val="0"/>
          <w:sz w:val="22"/>
          <w:rtl/>
          <w:szCs w:val="22"/>
        </w:rPr>
        <w:t>תאריך: ________________________________</w:t>
      </w:r>
    </w:p>
    <w:p>
      <w:pPr>
        <w:bidi w:val="1"/>
        <w:spacing w:before="0" w:after="80" w:line="269" w:lineRule="auto"/>
        <w:jc w:val="right"/>
      </w:pPr>
      <w:r>
        <w:rPr>
          <w:rFonts w:ascii="Arial" w:hAnsi="Arial" w:cs="Arial" w:eastAsia="Arial"/>
          <w:b w:val="0"/>
          <w:sz w:val="22"/>
          <w:rtl/>
          <w:szCs w:val="22"/>
        </w:rPr>
      </w:r>
    </w:p>
    <w:p>
      <w:pPr>
        <w:bidi w:val="1"/>
        <w:spacing w:before="0" w:after="80" w:line="269" w:lineRule="auto"/>
        <w:jc w:val="right"/>
      </w:pPr>
      <w:r>
        <w:rPr>
          <w:rFonts w:ascii="Arial" w:hAnsi="Arial" w:cs="Arial" w:eastAsia="Arial"/>
          <w:b/>
          <w:sz w:val="22"/>
          <w:rtl/>
          <w:szCs w:val="22"/>
        </w:rPr>
        <w:t>שם המזמין: אביתר</w:t>
      </w:r>
    </w:p>
    <w:p>
      <w:pPr>
        <w:bidi w:val="1"/>
        <w:spacing w:before="0" w:after="80" w:line="269" w:lineRule="auto"/>
        <w:jc w:val="right"/>
      </w:pPr>
      <w:r>
        <w:rPr>
          <w:rFonts w:ascii="Arial" w:hAnsi="Arial" w:cs="Arial" w:eastAsia="Arial"/>
          <w:b w:val="0"/>
          <w:sz w:val="22"/>
          <w:rtl/>
          <w:szCs w:val="22"/>
        </w:rPr>
        <w:t>חתימה: ________________________________</w:t>
      </w:r>
    </w:p>
    <w:p>
      <w:pPr>
        <w:bidi w:val="1"/>
        <w:spacing w:before="0" w:after="80" w:line="269" w:lineRule="auto"/>
        <w:jc w:val="right"/>
      </w:pPr>
      <w:r>
        <w:rPr>
          <w:rFonts w:ascii="Arial" w:hAnsi="Arial" w:cs="Arial" w:eastAsia="Arial"/>
          <w:b w:val="0"/>
          <w:sz w:val="22"/>
          <w:rtl/>
          <w:szCs w:val="22"/>
        </w:rPr>
        <w:t>תאריך: ________________________________</w:t>
      </w:r>
    </w:p>
    <w:sectPr w:rsidR="00FC693F" w:rsidRPr="0006063C" w:rsidSect="00034616">
      <w:headerReference w:type="default" r:id="rId9"/>
      <w:footerReference w:type="default" r:id="rId10"/>
      <w:pgSz w:w="11906" w:h="16838"/>
      <w:pgMar w:top="907" w:right="964" w:bottom="907" w:left="96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69" w:lineRule="auto"/>
      <w:jc w:val="center"/>
    </w:pPr>
    <w:r>
      <w:rPr>
        <w:rFonts w:ascii="Arial" w:hAnsi="Arial" w:cs="Arial" w:eastAsia="Arial"/>
        <w:b w:val="0"/>
        <w:color w:val="464C56"/>
        <w:sz w:val="18"/>
        <w:rtl/>
        <w:szCs w:val="18"/>
      </w:rPr>
      <w:t>כל העמודים הם חלק אחד מההסכם</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spacing w:before="0" w:after="40" w:line="269" w:lineRule="auto"/>
      <w:jc w:val="center"/>
    </w:pPr>
    <w:r>
      <w:rPr>
        <w:rFonts w:ascii="Arial" w:hAnsi="Arial" w:cs="Arial" w:eastAsia="Arial"/>
        <w:b w:val="0"/>
        <w:color w:val="464C56"/>
        <w:sz w:val="18"/>
        <w:rtl/>
        <w:szCs w:val="18"/>
      </w:rPr>
      <w:t>הסכם שירותי קידום  ·  קמפיין הבטא של Failrail  ·  Ko-fi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he-IL"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הסכם שירותי קידום - קמפיין הבטא של Failrail</dc:title>
  <dc:subject>הסכם בין אביתר לשליו, קמפיין Ko-fi</dc:subject>
  <dc:creator>אביתר</dc:creator>
  <cp:keywords/>
  <dc:description>עותק לחתימה. בלי הערת ניסוח פנימית.</dc:description>
  <cp:lastModifiedBy/>
  <cp:revision>1</cp:revision>
  <dcterms:created xsi:type="dcterms:W3CDTF">2013-12-23T23:15:00Z</dcterms:created>
  <dcterms:modified xsi:type="dcterms:W3CDTF">2013-12-23T23:15:00Z</dcterms:modified>
  <cp:category>הסכם</cp:category>
</cp:coreProperties>
</file>