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0" w:after="80" w:line="312" w:lineRule="auto"/>
        <w:jc w:val="center"/>
        <w:rPr>
          <w:rFonts w:hint="eastAsia" w:ascii="Times New Roman" w:hAnsi="Times New Roman" w:eastAsia="黑体" w:cs="Times New Roman"/>
          <w:color w:val="000000"/>
          <w:kern w:val="0"/>
          <w:sz w:val="36"/>
          <w:szCs w:val="36"/>
          <w:lang w:eastAsia="zh-CN"/>
        </w:rPr>
      </w:pPr>
      <w:r>
        <w:rPr>
          <w:rFonts w:hint="default" w:ascii="Times New Roman" w:hAnsi="Times New Roman" w:eastAsia="黑体" w:cs="Times New Roman"/>
          <w:b/>
          <w:color w:val="000000"/>
          <w:kern w:val="0"/>
          <w:sz w:val="36"/>
          <w:szCs w:val="36"/>
          <w:lang w:eastAsia="zh-CN"/>
        </w:rPr>
        <w:t>“</w:t>
      </w:r>
      <w:r>
        <w:rPr>
          <w:rFonts w:hint="default" w:ascii="Times New Roman" w:hAnsi="Times New Roman" w:eastAsia="黑体" w:cs="Times New Roman"/>
          <w:b/>
          <w:color w:val="000000"/>
          <w:kern w:val="0"/>
          <w:sz w:val="36"/>
          <w:szCs w:val="36"/>
          <w:lang w:eastAsia="en-US"/>
        </w:rPr>
        <w:t>少教多学</w:t>
      </w:r>
      <w:r>
        <w:rPr>
          <w:rFonts w:hint="default" w:ascii="Times New Roman" w:hAnsi="Times New Roman" w:eastAsia="黑体" w:cs="Times New Roman"/>
          <w:b/>
          <w:color w:val="000000"/>
          <w:kern w:val="0"/>
          <w:sz w:val="36"/>
          <w:szCs w:val="36"/>
          <w:lang w:eastAsia="zh-CN"/>
        </w:rPr>
        <w:t>”</w:t>
      </w:r>
      <w:r>
        <w:rPr>
          <w:rFonts w:hint="default" w:ascii="Times New Roman" w:hAnsi="Times New Roman" w:eastAsia="黑体" w:cs="Times New Roman"/>
          <w:b/>
          <w:color w:val="000000"/>
          <w:kern w:val="0"/>
          <w:sz w:val="36"/>
          <w:szCs w:val="36"/>
          <w:lang w:eastAsia="en-US"/>
        </w:rPr>
        <w:t>课堂教学模式改革课程教学</w:t>
      </w:r>
      <w:r>
        <w:rPr>
          <w:rFonts w:hint="eastAsia" w:ascii="Times New Roman" w:hAnsi="Times New Roman" w:eastAsia="黑体" w:cs="Times New Roman"/>
          <w:b/>
          <w:color w:val="000000"/>
          <w:kern w:val="0"/>
          <w:sz w:val="36"/>
          <w:szCs w:val="36"/>
          <w:lang w:val="en-US" w:eastAsia="zh-CN"/>
        </w:rPr>
        <w:t>安排</w:t>
      </w:r>
    </w:p>
    <w:p>
      <w:pPr>
        <w:widowControl/>
        <w:spacing w:before="0" w:after="200" w:line="288" w:lineRule="auto"/>
        <w:jc w:val="center"/>
        <w:rPr>
          <w:rFonts w:hint="default" w:ascii="Times New Roman" w:hAnsi="Times New Roman" w:eastAsia="宋体" w:cs="Times New Roman"/>
          <w:b/>
          <w:bCs/>
          <w:kern w:val="0"/>
          <w:sz w:val="28"/>
          <w:szCs w:val="28"/>
          <w:lang w:eastAsia="en-US"/>
        </w:rPr>
      </w:pPr>
      <w:r>
        <w:rPr>
          <w:rFonts w:hint="default" w:ascii="Times New Roman" w:hAnsi="Times New Roman" w:eastAsia="仿宋_GB2312" w:cs="Times New Roman"/>
          <w:b/>
          <w:bCs/>
          <w:color w:val="C00000"/>
          <w:kern w:val="0"/>
          <w:sz w:val="28"/>
          <w:szCs w:val="28"/>
          <w:lang w:eastAsia="en-US"/>
        </w:rPr>
        <w:t>（2026</w:t>
      </w:r>
      <w:r>
        <w:rPr>
          <w:rFonts w:hint="default" w:ascii="Times New Roman" w:hAnsi="Times New Roman" w:eastAsia="仿宋_GB2312" w:cs="Times New Roman"/>
          <w:b/>
          <w:bCs/>
          <w:color w:val="C00000"/>
          <w:kern w:val="0"/>
          <w:sz w:val="28"/>
          <w:szCs w:val="28"/>
          <w:lang w:eastAsia="zh-CN"/>
        </w:rPr>
        <w:t>—</w:t>
      </w:r>
      <w:r>
        <w:rPr>
          <w:rFonts w:hint="default" w:ascii="Times New Roman" w:hAnsi="Times New Roman" w:eastAsia="仿宋_GB2312" w:cs="Times New Roman"/>
          <w:b/>
          <w:bCs/>
          <w:color w:val="C00000"/>
          <w:kern w:val="0"/>
          <w:sz w:val="28"/>
          <w:szCs w:val="28"/>
          <w:lang w:eastAsia="en-US"/>
        </w:rPr>
        <w:t>2027学年第一学期）</w:t>
      </w:r>
    </w:p>
    <w:p>
      <w:pPr>
        <w:widowControl/>
        <w:spacing w:before="0" w:after="80" w:line="288" w:lineRule="auto"/>
        <w:jc w:val="left"/>
        <w:rPr>
          <w:rFonts w:hint="eastAsia" w:ascii="Times New Roman" w:hAnsi="Times New Roman" w:eastAsia="黑体" w:cs="Times New Roman"/>
          <w:kern w:val="0"/>
          <w:lang w:eastAsia="zh-CN"/>
        </w:rPr>
      </w:pPr>
      <w:r>
        <w:rPr>
          <w:rFonts w:hint="default" w:ascii="Times New Roman" w:hAnsi="Times New Roman" w:eastAsia="黑体" w:cs="Times New Roman"/>
          <w:b/>
          <w:kern w:val="0"/>
          <w:sz w:val="24"/>
          <w:lang w:eastAsia="en-US"/>
        </w:rPr>
        <w:t>一、课程基本信息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val="en-US" w:eastAsia="zh-CN"/>
        </w:rPr>
        <w:t>必填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eastAsia="zh-CN"/>
        </w:rPr>
        <w:t>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4128"/>
        <w:gridCol w:w="1632"/>
        <w:gridCol w:w="24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课程名称</w:t>
            </w:r>
          </w:p>
        </w:tc>
        <w:tc>
          <w:tcPr>
            <w:tcW w:w="4128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计算机视觉与图像处理</w:t>
            </w:r>
          </w:p>
        </w:tc>
        <w:tc>
          <w:tcPr>
            <w:tcW w:w="163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课程代码</w:t>
            </w:r>
          </w:p>
        </w:tc>
        <w:tc>
          <w:tcPr>
            <w:tcW w:w="249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03129021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开课学院</w:t>
            </w:r>
          </w:p>
        </w:tc>
        <w:tc>
          <w:tcPr>
            <w:tcW w:w="4128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土木与环境工程学院</w:t>
            </w:r>
          </w:p>
        </w:tc>
        <w:tc>
          <w:tcPr>
            <w:tcW w:w="163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面向年级/专业</w:t>
            </w:r>
          </w:p>
        </w:tc>
        <w:tc>
          <w:tcPr>
            <w:tcW w:w="249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25级智能建造专业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课程负责人</w:t>
            </w:r>
          </w:p>
        </w:tc>
        <w:tc>
          <w:tcPr>
            <w:tcW w:w="4128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姚丁</w:t>
            </w:r>
          </w:p>
        </w:tc>
        <w:tc>
          <w:tcPr>
            <w:tcW w:w="163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授课教师/团队</w:t>
            </w:r>
          </w:p>
        </w:tc>
        <w:tc>
          <w:tcPr>
            <w:tcW w:w="249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姚丁、李兆超、徐卓君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课程总学时</w:t>
            </w:r>
          </w:p>
        </w:tc>
        <w:tc>
          <w:tcPr>
            <w:tcW w:w="4128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24</w:t>
            </w:r>
          </w:p>
        </w:tc>
        <w:tc>
          <w:tcPr>
            <w:tcW w:w="163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授课学期</w:t>
            </w:r>
          </w:p>
        </w:tc>
        <w:tc>
          <w:tcPr>
            <w:tcW w:w="249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2027学年第一学期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教学模式</w:t>
            </w:r>
          </w:p>
        </w:tc>
        <w:tc>
          <w:tcPr>
            <w:tcW w:w="4128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 xml:space="preserve">1学生线上主导型 </w:t>
            </w:r>
            <w:r>
              <w:rPr>
                <w:rFonts w:hint="eastAsia" w:cs="Times New Roman"/>
                <w:b w:val="0"/>
                <w:kern w:val="0"/>
                <w:sz w:val="21"/>
                <w:lang w:eastAsia="zh-CN"/>
              </w:rPr>
              <w:t>☑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2线上线下混合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 xml:space="preserve">3全线下创新型  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4其他</w:t>
            </w:r>
          </w:p>
        </w:tc>
        <w:tc>
          <w:tcPr>
            <w:tcW w:w="163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授课班级</w:t>
            </w:r>
          </w:p>
        </w:tc>
        <w:tc>
          <w:tcPr>
            <w:tcW w:w="249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智能建造2501-2508</w:t>
            </w:r>
          </w:p>
        </w:tc>
      </w:tr>
    </w:tbl>
    <w:p>
      <w:pPr>
        <w:widowControl/>
        <w:spacing w:before="200" w:after="80" w:line="288" w:lineRule="auto"/>
        <w:jc w:val="left"/>
        <w:rPr>
          <w:rFonts w:hint="eastAsia" w:ascii="Times New Roman" w:hAnsi="Times New Roman" w:eastAsia="黑体" w:cs="Times New Roman"/>
          <w:kern w:val="0"/>
          <w:lang w:eastAsia="zh-CN"/>
        </w:rPr>
      </w:pPr>
      <w:r>
        <w:rPr>
          <w:rFonts w:hint="default" w:ascii="Times New Roman" w:hAnsi="Times New Roman" w:eastAsia="黑体" w:cs="Times New Roman"/>
          <w:b/>
          <w:kern w:val="0"/>
          <w:sz w:val="24"/>
          <w:lang w:eastAsia="en-US"/>
        </w:rPr>
        <w:t>二、课程学时构成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val="en-US" w:eastAsia="zh-CN"/>
        </w:rPr>
        <w:t>必填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eastAsia="zh-CN"/>
        </w:rPr>
        <w:t>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134"/>
        <w:gridCol w:w="1701"/>
        <w:gridCol w:w="44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学时类型</w:t>
            </w:r>
          </w:p>
        </w:tc>
        <w:tc>
          <w:tcPr>
            <w:tcW w:w="1134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学时数</w:t>
            </w:r>
          </w:p>
        </w:tc>
        <w:tc>
          <w:tcPr>
            <w:tcW w:w="1701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占总学时比例（%）</w:t>
            </w:r>
          </w:p>
        </w:tc>
        <w:tc>
          <w:tcPr>
            <w:tcW w:w="442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备注（教学方式/平台/地点等）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理论讲授学时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6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25%</w:t>
            </w:r>
          </w:p>
        </w:tc>
        <w:tc>
          <w:tcPr>
            <w:tcW w:w="442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2"/>
                <w:szCs w:val="22"/>
              </w:rPr>
              <w:t>线下</w:t>
            </w:r>
            <w:r>
              <w:rPr>
                <w:rFonts w:hint="eastAsia" w:cs="Times New Roman"/>
                <w:kern w:val="0"/>
                <w:lang w:val="en-US" w:eastAsia="zh-CN"/>
              </w:rPr>
              <w:t>公共楼/</w:t>
            </w:r>
            <w:r>
              <w:rPr>
                <w:rFonts w:hint="default" w:ascii="Times New Roman" w:hAnsi="Times New Roman" w:eastAsia="宋体" w:cs="Times New Roman"/>
                <w:b w:val="0"/>
                <w:sz w:val="22"/>
                <w:szCs w:val="22"/>
              </w:rPr>
              <w:t>机房授课，聚焦</w:t>
            </w:r>
            <w:r>
              <w:rPr>
                <w:rFonts w:hint="eastAsia" w:cs="Times New Roman"/>
                <w:b w:val="0"/>
                <w:sz w:val="22"/>
                <w:szCs w:val="22"/>
                <w:lang w:val="en-US" w:eastAsia="zh-CN"/>
              </w:rPr>
              <w:t>前沿背景、</w:t>
            </w:r>
            <w:r>
              <w:rPr>
                <w:rFonts w:hint="default" w:ascii="Times New Roman" w:hAnsi="Times New Roman" w:eastAsia="宋体" w:cs="Times New Roman"/>
                <w:b w:val="0"/>
                <w:sz w:val="22"/>
                <w:szCs w:val="22"/>
              </w:rPr>
              <w:t>核心算法原理与工程案例精讲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在线课程学习学时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8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33.3%</w:t>
            </w:r>
          </w:p>
        </w:tc>
        <w:tc>
          <w:tcPr>
            <w:tcW w:w="442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ascii="Times New Roman" w:hAnsi="Times New Roman" w:eastAsia="宋体" w:cs="Times New Roman"/>
                <w:kern w:val="0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2"/>
                <w:szCs w:val="22"/>
              </w:rPr>
              <w:t>中国大学MOOC平台，</w:t>
            </w:r>
            <w:r>
              <w:rPr>
                <w:rFonts w:hint="eastAsia" w:cs="Times New Roman"/>
                <w:kern w:val="0"/>
                <w:lang w:val="en-US" w:eastAsia="zh-CN"/>
              </w:rPr>
              <w:t xml:space="preserve">贾同等. </w:t>
            </w:r>
            <w:r>
              <w:rPr>
                <w:rFonts w:hint="eastAsia" w:cs="Times New Roman"/>
                <w:kern w:val="0"/>
                <w:lang w:eastAsia="zh-CN"/>
              </w:rPr>
              <w:t>《计算机视觉》</w:t>
            </w:r>
            <w:r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  <w:instrText xml:space="preserve"> HYPERLINK "https://www.icourse163.org/course/NEU-1465996192" </w:instrText>
            </w:r>
            <w:r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  <w:fldChar w:fldCharType="separate"/>
            </w:r>
            <w:r>
              <w:rPr>
                <w:rStyle w:val="135"/>
                <w:rFonts w:hint="default" w:ascii="Times New Roman" w:hAnsi="Times New Roman" w:eastAsia="宋体" w:cs="Times New Roman"/>
                <w:kern w:val="0"/>
                <w:lang w:eastAsia="en-US"/>
              </w:rPr>
              <w:t>https://www.icourse163.org/course/NEU-1465996192</w:t>
            </w:r>
            <w:r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  <w:fldChar w:fldCharType="end"/>
            </w:r>
            <w:r>
              <w:rPr>
                <w:rFonts w:hint="eastAsia" w:cs="Times New Roman"/>
                <w:kern w:val="0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sz w:val="22"/>
                <w:szCs w:val="22"/>
              </w:rPr>
              <w:t>含视频学习、在线测试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bookmarkStart w:id="0" w:name="_GoBack" w:colFirst="0" w:colLast="3"/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研讨/项目实践学时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10</w:t>
            </w:r>
          </w:p>
        </w:tc>
        <w:tc>
          <w:tcPr>
            <w:tcW w:w="1701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/>
              </w:rPr>
              <w:t>41.7%</w:t>
            </w:r>
          </w:p>
        </w:tc>
        <w:tc>
          <w:tcPr>
            <w:tcW w:w="442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2"/>
                <w:szCs w:val="22"/>
              </w:rPr>
              <w:t>线下机房授课，分组实操+案例研讨+综合项目开发</w:t>
            </w: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合计</w:t>
            </w:r>
          </w:p>
        </w:tc>
        <w:tc>
          <w:tcPr>
            <w:tcW w:w="1134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24</w:t>
            </w:r>
          </w:p>
        </w:tc>
        <w:tc>
          <w:tcPr>
            <w:tcW w:w="1701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100%</w:t>
            </w:r>
          </w:p>
        </w:tc>
        <w:tc>
          <w:tcPr>
            <w:tcW w:w="4422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</w:tr>
    </w:tbl>
    <w:p>
      <w:pPr>
        <w:widowControl/>
        <w:spacing w:before="200" w:after="80" w:line="288" w:lineRule="auto"/>
        <w:jc w:val="left"/>
        <w:rPr>
          <w:rFonts w:hint="default" w:ascii="Times New Roman" w:hAnsi="Times New Roman" w:eastAsia="宋体" w:cs="Times New Roman"/>
          <w:color w:val="FF0000"/>
          <w:kern w:val="0"/>
          <w:lang w:eastAsia="en-US"/>
        </w:rPr>
      </w:pPr>
      <w:r>
        <w:rPr>
          <w:rFonts w:hint="default" w:ascii="Times New Roman" w:hAnsi="Times New Roman" w:eastAsia="黑体" w:cs="Times New Roman"/>
          <w:b/>
          <w:kern w:val="0"/>
          <w:sz w:val="24"/>
          <w:lang w:eastAsia="en-US"/>
        </w:rPr>
        <w:t>三、教学进度安排</w:t>
      </w:r>
      <w:r>
        <w:rPr>
          <w:rFonts w:hint="default" w:ascii="Times New Roman" w:hAnsi="Times New Roman" w:eastAsia="黑体" w:cs="Times New Roman"/>
          <w:b/>
          <w:color w:val="FF0000"/>
          <w:kern w:val="0"/>
          <w:sz w:val="24"/>
          <w:lang w:eastAsia="en-US"/>
        </w:rPr>
        <w:t>（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val="en-US" w:eastAsia="zh-CN"/>
        </w:rPr>
        <w:t>选填，教师可根据实际情况进行合理安排</w:t>
      </w:r>
      <w:r>
        <w:rPr>
          <w:rFonts w:hint="default" w:ascii="Times New Roman" w:hAnsi="Times New Roman" w:eastAsia="黑体" w:cs="Times New Roman"/>
          <w:b/>
          <w:color w:val="FF0000"/>
          <w:kern w:val="0"/>
          <w:sz w:val="24"/>
          <w:lang w:eastAsia="en-US"/>
        </w:rPr>
        <w:t>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1975"/>
        <w:gridCol w:w="1224"/>
        <w:gridCol w:w="1620"/>
        <w:gridCol w:w="2029"/>
        <w:gridCol w:w="1260"/>
        <w:gridCol w:w="7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9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周次</w:t>
            </w:r>
          </w:p>
        </w:tc>
        <w:tc>
          <w:tcPr>
            <w:tcW w:w="1975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教学内容（章节/主题）</w:t>
            </w:r>
          </w:p>
        </w:tc>
        <w:tc>
          <w:tcPr>
            <w:tcW w:w="1224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授课方式</w:t>
            </w:r>
          </w:p>
        </w:tc>
        <w:tc>
          <w:tcPr>
            <w:tcW w:w="1620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线上自学安排</w:t>
            </w:r>
          </w:p>
        </w:tc>
        <w:tc>
          <w:tcPr>
            <w:tcW w:w="2029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线下教学/研讨安排</w:t>
            </w:r>
          </w:p>
        </w:tc>
        <w:tc>
          <w:tcPr>
            <w:tcW w:w="1260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作业/考核</w:t>
            </w:r>
          </w:p>
        </w:tc>
        <w:tc>
          <w:tcPr>
            <w:tcW w:w="792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学时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图像处理与机器视觉前沿与基础相关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线下讲授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</w:pPr>
            <w:r>
              <w:rPr>
                <w:rFonts w:hint="eastAsia" w:cs="Times New Roman"/>
                <w:b w:val="0"/>
                <w:kern w:val="0"/>
                <w:sz w:val="21"/>
                <w:lang w:val="en-US" w:eastAsia="zh-CN"/>
              </w:rPr>
              <w:t>1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图像处理与机器视觉前沿与基础相关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线下讲授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sz w:val="21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底层视觉：数字图像处理方法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线上自学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  <w:t>2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底层视觉：图像特征分析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线上自学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中层视觉：图像特征分析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线上自学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</w:pPr>
            <w:r>
              <w:rPr>
                <w:rFonts w:hint="eastAsia" w:cs="Times New Roman"/>
                <w:b w:val="0"/>
                <w:kern w:val="0"/>
                <w:sz w:val="21"/>
                <w:lang w:val="en-US" w:eastAsia="zh-CN"/>
              </w:rPr>
              <w:t>3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高层视觉：立体视觉与图像理解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线上自学</w:t>
            </w:r>
          </w:p>
        </w:tc>
        <w:tc>
          <w:tcPr>
            <w:tcW w:w="1620" w:type="dxa"/>
            <w:shd w:val="clear" w:color="auto" w:fill="auto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图像特征分析、立体视觉与图像理解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线下讲授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</w:pPr>
            <w:r>
              <w:rPr>
                <w:rFonts w:hint="eastAsia" w:cs="Times New Roman"/>
                <w:b w:val="0"/>
                <w:kern w:val="0"/>
                <w:sz w:val="21"/>
                <w:lang w:val="en-US" w:eastAsia="zh-CN"/>
              </w:rPr>
              <w:t>4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底层视觉：数字图像处理方法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val="en-US" w:eastAsia="en-US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线下研讨实操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底层视觉：数字图像处理方法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线下研讨实操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lang w:val="en-US" w:eastAsia="zh-CN"/>
              </w:rPr>
            </w:pPr>
            <w:r>
              <w:rPr>
                <w:rFonts w:hint="eastAsia" w:cs="Times New Roman"/>
                <w:b w:val="0"/>
                <w:kern w:val="0"/>
                <w:sz w:val="21"/>
                <w:lang w:val="en-US" w:eastAsia="zh-CN"/>
              </w:rPr>
              <w:t>5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中层视觉：图像特征分析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线下研讨实操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cs="Times New Roman"/>
                <w:b w:val="0"/>
                <w:kern w:val="0"/>
                <w:sz w:val="21"/>
                <w:lang w:val="en-US" w:eastAsia="zh-CN"/>
              </w:rPr>
            </w:pPr>
            <w:r>
              <w:rPr>
                <w:rFonts w:hint="eastAsia" w:cs="Times New Roman"/>
                <w:b w:val="0"/>
                <w:kern w:val="0"/>
                <w:sz w:val="21"/>
                <w:lang w:val="en-US" w:eastAsia="zh-CN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中层视觉：图像特征分析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线下研讨实操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lang w:eastAsia="en-US"/>
              </w:rPr>
              <w:t>6</w:t>
            </w:r>
          </w:p>
        </w:tc>
        <w:tc>
          <w:tcPr>
            <w:tcW w:w="1975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高层视觉：立体视觉与图像理解</w:t>
            </w:r>
          </w:p>
        </w:tc>
        <w:tc>
          <w:tcPr>
            <w:tcW w:w="1224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线下研讨实操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kern w:val="0"/>
                <w:lang w:val="en-US" w:eastAsia="zh-CN"/>
              </w:rPr>
            </w:pPr>
            <w:r>
              <w:rPr>
                <w:rFonts w:hint="eastAsia" w:cs="Times New Roman"/>
                <w:kern w:val="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lang w:eastAsia="en-US"/>
              </w:rPr>
            </w:pPr>
          </w:p>
        </w:tc>
        <w:tc>
          <w:tcPr>
            <w:tcW w:w="3199" w:type="dxa"/>
            <w:gridSpan w:val="2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lang w:eastAsia="en-US"/>
              </w:rPr>
            </w:pPr>
            <w:r>
              <w:rPr>
                <w:rFonts w:hint="eastAsia" w:cs="Times New Roman"/>
                <w:b/>
                <w:bCs/>
                <w:kern w:val="0"/>
                <w:lang w:val="en-US" w:eastAsia="zh-CN"/>
              </w:rPr>
              <w:t>合计</w:t>
            </w:r>
          </w:p>
        </w:tc>
        <w:tc>
          <w:tcPr>
            <w:tcW w:w="162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0"/>
                <w:lang w:val="en-US" w:eastAsia="zh-CN"/>
              </w:rPr>
              <w:t>8</w:t>
            </w:r>
          </w:p>
        </w:tc>
        <w:tc>
          <w:tcPr>
            <w:tcW w:w="2029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0"/>
                <w:lang w:val="en-US" w:eastAsia="zh-CN"/>
              </w:rPr>
              <w:t>16</w:t>
            </w:r>
          </w:p>
        </w:tc>
        <w:tc>
          <w:tcPr>
            <w:tcW w:w="1260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lang w:eastAsia="en-US"/>
              </w:rPr>
            </w:pPr>
          </w:p>
        </w:tc>
        <w:tc>
          <w:tcPr>
            <w:tcW w:w="792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0"/>
                <w:lang w:val="en-US" w:eastAsia="zh-CN"/>
              </w:rPr>
              <w:t>24</w:t>
            </w:r>
          </w:p>
        </w:tc>
      </w:tr>
    </w:tbl>
    <w:p>
      <w:pPr>
        <w:widowControl/>
        <w:spacing w:before="200" w:after="80" w:line="288" w:lineRule="auto"/>
        <w:jc w:val="left"/>
        <w:rPr>
          <w:rFonts w:hint="eastAsia" w:ascii="Times New Roman" w:hAnsi="Times New Roman" w:eastAsia="黑体" w:cs="Times New Roman"/>
          <w:color w:val="FF0000"/>
          <w:kern w:val="0"/>
          <w:lang w:eastAsia="zh-CN"/>
        </w:rPr>
      </w:pPr>
      <w:r>
        <w:rPr>
          <w:rFonts w:hint="default" w:ascii="Times New Roman" w:hAnsi="Times New Roman" w:eastAsia="黑体" w:cs="Times New Roman"/>
          <w:b/>
          <w:kern w:val="0"/>
          <w:sz w:val="24"/>
          <w:lang w:eastAsia="en-US"/>
        </w:rPr>
        <w:t>四、课程考核方式及成绩评定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val="en-US" w:eastAsia="zh-CN"/>
        </w:rPr>
        <w:t>必填，考核项目和方式可根据实际情况进行调整</w:t>
      </w:r>
      <w:r>
        <w:rPr>
          <w:rFonts w:hint="eastAsia" w:ascii="Times New Roman" w:hAnsi="Times New Roman" w:eastAsia="黑体" w:cs="Times New Roman"/>
          <w:b/>
          <w:color w:val="FF0000"/>
          <w:kern w:val="0"/>
          <w:sz w:val="24"/>
          <w:lang w:eastAsia="zh-CN"/>
        </w:rPr>
        <w:t>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608"/>
        <w:gridCol w:w="1247"/>
        <w:gridCol w:w="39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考核项目</w:t>
            </w:r>
          </w:p>
        </w:tc>
        <w:tc>
          <w:tcPr>
            <w:tcW w:w="2608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考核方式</w:t>
            </w:r>
          </w:p>
        </w:tc>
        <w:tc>
          <w:tcPr>
            <w:tcW w:w="1247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占比（%）</w:t>
            </w:r>
          </w:p>
        </w:tc>
        <w:tc>
          <w:tcPr>
            <w:tcW w:w="3969" w:type="dxa"/>
            <w:shd w:val="clear" w:color="auto" w:fill="EBF1DE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评分标准说明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线上学习考核</w:t>
            </w:r>
          </w:p>
        </w:tc>
        <w:tc>
          <w:tcPr>
            <w:tcW w:w="260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线上学习时长、视频完成度、章节自测成绩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1"/>
                <w:lang w:val="en-US" w:eastAsia="zh-CN"/>
              </w:rPr>
              <w:t>20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MOOC 视频 100% 完成得满分，自测正确率≥85% 为优秀，低于 60 分按完成比例折算，平台数据自动导出存档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课堂表现</w:t>
            </w:r>
          </w:p>
        </w:tc>
        <w:tc>
          <w:tcPr>
            <w:tcW w:w="260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出勤、课堂代码实操互动、小组研讨发言、机房纪律思政表现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1"/>
                <w:lang w:val="en-US" w:eastAsia="zh-CN"/>
              </w:rPr>
              <w:t>30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全勤、主动参与算法讨论、团队协作良好 90 分以上；缺勤 2 次以内、态度端正 75-89 分；缺勤 4 次以内 60-74 分；多次旷课违纪 60 分以下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作业/阶段性实验</w:t>
            </w:r>
          </w:p>
        </w:tc>
        <w:tc>
          <w:tcPr>
            <w:tcW w:w="260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模块单次实验代码、实验分析报告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1"/>
                <w:lang w:val="en-US" w:eastAsia="zh-CN"/>
              </w:rPr>
              <w:t>20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代码完整运行、实验分析详实、格式规范为高分；存在少量 bug 可自行修改中等；代码大面积失效、抄袭不及格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实践/综合案例项目</w:t>
            </w:r>
          </w:p>
        </w:tc>
        <w:tc>
          <w:tcPr>
            <w:tcW w:w="260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综合视觉应用案例、完整代码、项目报告</w:t>
            </w:r>
            <w:r>
              <w:rPr>
                <w:rFonts w:hint="eastAsia" w:ascii="Times New Roman" w:hAnsi="Times New Roman" w:eastAsia="宋体" w:cs="Times New Roman"/>
                <w:b w:val="0"/>
                <w:sz w:val="21"/>
                <w:lang w:val="en-US" w:eastAsia="zh-CN"/>
              </w:rPr>
              <w:t>等</w:t>
            </w:r>
          </w:p>
        </w:tc>
        <w:tc>
          <w:tcPr>
            <w:tcW w:w="1247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1"/>
                <w:lang w:val="en-US" w:eastAsia="zh-CN"/>
              </w:rPr>
              <w:t>30</w:t>
            </w:r>
          </w:p>
        </w:tc>
        <w:tc>
          <w:tcPr>
            <w:tcW w:w="3969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</w:rPr>
              <w:t>从方案设计、代码实现、成果报告、职业素养四维度评分，核查数据真实性、杜绝算法抄袭，完整留存项目源码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合计</w:t>
            </w:r>
          </w:p>
        </w:tc>
        <w:tc>
          <w:tcPr>
            <w:tcW w:w="2608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  <w:tc>
          <w:tcPr>
            <w:tcW w:w="1247" w:type="dxa"/>
            <w:vAlign w:val="center"/>
          </w:tcPr>
          <w:p>
            <w:pPr>
              <w:widowControl/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21"/>
                <w:lang w:eastAsia="en-US"/>
              </w:rPr>
              <w:t>100%</w:t>
            </w:r>
          </w:p>
        </w:tc>
        <w:tc>
          <w:tcPr>
            <w:tcW w:w="3969" w:type="dxa"/>
            <w:vAlign w:val="center"/>
          </w:tcPr>
          <w:p>
            <w:pPr>
              <w:widowControl/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  <w:kern w:val="0"/>
                <w:lang w:eastAsia="en-US"/>
              </w:rPr>
            </w:pPr>
          </w:p>
        </w:tc>
      </w:tr>
    </w:tbl>
    <w:p>
      <w:pPr>
        <w:widowControl/>
        <w:spacing w:before="0" w:after="80" w:line="288" w:lineRule="auto"/>
        <w:jc w:val="left"/>
        <w:rPr>
          <w:rFonts w:hint="default" w:ascii="Times New Roman" w:hAnsi="Times New Roman" w:eastAsia="宋体" w:cs="Times New Roman"/>
          <w:kern w:val="0"/>
          <w:lang w:eastAsia="en-US"/>
        </w:rPr>
      </w:pPr>
    </w:p>
    <w:p>
      <w:pPr>
        <w:widowControl/>
        <w:spacing w:before="160" w:after="200" w:line="288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 xml:space="preserve">课程负责人签字：____________________        </w:t>
      </w:r>
      <w:r>
        <w:rPr>
          <w:rFonts w:hint="eastAsia" w:ascii="Times New Roman" w:hAnsi="Times New Roman" w:eastAsia="宋体" w:cs="Times New Roman"/>
          <w:b w:val="0"/>
          <w:kern w:val="0"/>
          <w:sz w:val="24"/>
          <w:szCs w:val="24"/>
          <w:lang w:val="en-US" w:eastAsia="zh-CN"/>
        </w:rPr>
        <w:t xml:space="preserve">              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年　　月　　日</w:t>
      </w:r>
    </w:p>
    <w:p>
      <w:pPr>
        <w:widowControl/>
        <w:spacing w:before="0" w:after="200" w:line="288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学院审核意见：____________________________________________________________</w:t>
      </w:r>
    </w:p>
    <w:p>
      <w:pPr>
        <w:widowControl/>
        <w:spacing w:before="0" w:after="120" w:line="288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 xml:space="preserve">学院负责人签字（盖章）：____________________        </w:t>
      </w:r>
      <w:r>
        <w:rPr>
          <w:rFonts w:hint="eastAsia" w:ascii="Times New Roman" w:hAnsi="Times New Roman" w:eastAsia="宋体" w:cs="Times New Roman"/>
          <w:b w:val="0"/>
          <w:kern w:val="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年　　月　　日</w:t>
      </w:r>
    </w:p>
    <w:p>
      <w:pPr>
        <w:widowControl/>
        <w:spacing w:before="240" w:after="80" w:line="288" w:lineRule="auto"/>
        <w:jc w:val="left"/>
        <w:rPr>
          <w:rFonts w:hint="default" w:ascii="Times New Roman" w:hAnsi="Times New Roman" w:eastAsia="黑体" w:cs="Times New Roman"/>
          <w:b/>
          <w:kern w:val="0"/>
          <w:sz w:val="24"/>
          <w:szCs w:val="24"/>
          <w:lang w:eastAsia="en-US"/>
        </w:rPr>
      </w:pPr>
    </w:p>
    <w:p>
      <w:pPr>
        <w:widowControl/>
        <w:spacing w:before="240" w:after="80" w:line="288" w:lineRule="auto"/>
        <w:jc w:val="left"/>
        <w:rPr>
          <w:rFonts w:hint="default" w:ascii="Times New Roman" w:hAnsi="Times New Roman" w:eastAsia="黑体" w:cs="Times New Roman"/>
          <w:b/>
          <w:kern w:val="0"/>
          <w:sz w:val="24"/>
          <w:szCs w:val="24"/>
          <w:lang w:eastAsia="en-US"/>
        </w:rPr>
      </w:pPr>
    </w:p>
    <w:p>
      <w:pPr>
        <w:widowControl/>
        <w:spacing w:before="240" w:after="80" w:line="288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黑体" w:cs="Times New Roman"/>
          <w:b/>
          <w:kern w:val="0"/>
          <w:sz w:val="24"/>
          <w:szCs w:val="24"/>
          <w:lang w:eastAsia="en-US"/>
        </w:rPr>
        <w:t>填表说明</w:t>
      </w:r>
    </w:p>
    <w:p>
      <w:pPr>
        <w:widowControl/>
        <w:spacing w:before="0" w:after="40" w:line="30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1. 本表适用于2026</w:t>
      </w:r>
      <w:r>
        <w:rPr>
          <w:rFonts w:hint="eastAsia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—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2027学年开展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少教多学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课堂教学模式改革的课程，由课程负责人组织课程团队填写，请如实、完整填报。</w:t>
      </w:r>
    </w:p>
    <w:p>
      <w:pPr>
        <w:widowControl/>
        <w:spacing w:before="0" w:after="40" w:line="30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 xml:space="preserve">2. 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教学模式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一栏请对照《关于在全校开展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少教多学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暨第二批课堂教学模式改革的通知》（教务通字〔2026〕54号）勾选相应模式；如选择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其他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，请备注说明具体方案。</w:t>
      </w:r>
    </w:p>
    <w:p>
      <w:pPr>
        <w:widowControl/>
        <w:spacing w:before="0" w:after="40" w:line="30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3. 学时构成应完整涵盖课程全部教学环节，理论学时以外的学时（含在线课程学习、团队教学、校企合作等）须逐一列明，合计学时应与课程总学时一致。</w:t>
      </w:r>
    </w:p>
    <w:p>
      <w:pPr>
        <w:widowControl/>
        <w:spacing w:before="0" w:after="40" w:line="30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4. 教学进度安排</w:t>
      </w:r>
      <w:r>
        <w:rPr>
          <w:rFonts w:hint="eastAsia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kern w:val="0"/>
          <w:sz w:val="24"/>
          <w:szCs w:val="24"/>
          <w:lang w:val="en-US" w:eastAsia="zh-CN"/>
        </w:rPr>
        <w:t>选填</w:t>
      </w:r>
      <w:r>
        <w:rPr>
          <w:rFonts w:hint="eastAsia" w:ascii="Times New Roman" w:hAnsi="Times New Roman" w:eastAsia="宋体" w:cs="Times New Roman"/>
          <w:b w:val="0"/>
          <w:kern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请按周次逐项填写，表格行数不足时请自行增行。</w:t>
      </w:r>
    </w:p>
    <w:p>
      <w:pPr>
        <w:widowControl/>
        <w:spacing w:before="0" w:after="40" w:line="300" w:lineRule="auto"/>
        <w:ind w:firstLine="42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5. 考核方式及成绩评定须明确各项考核占比与评分标准，确保教学内容及成绩评定过程全程留痕、可追溯。</w:t>
      </w:r>
    </w:p>
    <w:p>
      <w:pPr>
        <w:widowControl/>
        <w:spacing w:before="0" w:after="40" w:line="300" w:lineRule="auto"/>
        <w:ind w:firstLine="420"/>
        <w:jc w:val="left"/>
        <w:rPr>
          <w:rFonts w:hint="default" w:ascii="Times New Roman" w:hAnsi="Times New Roman" w:eastAsia="方正仿宋_GB2312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kern w:val="0"/>
          <w:sz w:val="24"/>
          <w:szCs w:val="24"/>
          <w:lang w:eastAsia="en-US"/>
        </w:rPr>
        <w:t>6. 各课程须于开课第二周前将本表报送所在学院教务办，学院审核汇总后统一报送教务处教务科备案。</w:t>
      </w:r>
    </w:p>
    <w:p>
      <w:pPr>
        <w:rPr>
          <w:rFonts w:hint="default"/>
        </w:rPr>
      </w:pPr>
    </w:p>
    <w:sectPr>
      <w:headerReference r:id="rId5" w:type="default"/>
      <w:footerReference r:id="rId6" w:type="default"/>
      <w:pgSz w:w="11906" w:h="16838"/>
      <w:pgMar w:top="1247" w:right="1134" w:bottom="1247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tabs>
        <w:tab w:val="center" w:pos="4153"/>
        <w:tab w:val="right" w:pos="8306"/>
        <w:tab w:val="clear" w:pos="4680"/>
        <w:tab w:val="clear" w:pos="9360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4"/>
                            <w:tabs>
                              <w:tab w:val="center" w:pos="4153"/>
                              <w:tab w:val="right" w:pos="8306"/>
                              <w:tab w:val="clear" w:pos="4680"/>
                              <w:tab w:val="clear" w:pos="9360"/>
                            </w:tabs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4"/>
                      <w:tabs>
                        <w:tab w:val="center" w:pos="4153"/>
                        <w:tab w:val="right" w:pos="8306"/>
                        <w:tab w:val="clear" w:pos="4680"/>
                        <w:tab w:val="clear" w:pos="9360"/>
                      </w:tabs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  <w:jc w:val="left"/>
      <w:rPr>
        <w:rFonts w:hint="default" w:eastAsiaTheme="minorEastAsia"/>
        <w:sz w:val="28"/>
        <w:szCs w:val="28"/>
        <w:lang w:val="en-US" w:eastAsia="zh-CN"/>
      </w:rPr>
    </w:pPr>
    <w:r>
      <w:rPr>
        <w:rFonts w:hint="eastAsia"/>
        <w:sz w:val="28"/>
        <w:szCs w:val="28"/>
        <w:lang w:val="en-US" w:eastAsia="zh-CN"/>
      </w:rPr>
      <w:t>附件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F161D"/>
    <w:rsid w:val="1C18782F"/>
    <w:rsid w:val="32BF5C05"/>
    <w:rsid w:val="32D45762"/>
    <w:rsid w:val="3538296D"/>
    <w:rsid w:val="45F20A9D"/>
    <w:rsid w:val="4F0D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1386</Words>
  <Characters>1628</Characters>
  <Lines>0</Lines>
  <Paragraphs>0</Paragraphs>
  <TotalTime>67</TotalTime>
  <ScaleCrop>false</ScaleCrop>
  <LinksUpToDate>false</LinksUpToDate>
  <CharactersWithSpaces>1707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XIAO</cp:lastModifiedBy>
  <dcterms:modified xsi:type="dcterms:W3CDTF">2026-09-15T02:24:45Z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eyJoZGlkIjoiY2YxYzM2ODNjYWE2YTBiZDE4ZWIyNTc3Yjg2MTExMzkiLCJ1c2VySWQiOiIxNTY4MjcwNjYzIn0=</vt:lpwstr>
  </property>
  <property fmtid="{D5CDD505-2E9C-101B-9397-08002B2CF9AE}" pid="3" name="KSOProductBuildVer">
    <vt:lpwstr>2052-12.8.2.15091</vt:lpwstr>
  </property>
  <property fmtid="{D5CDD505-2E9C-101B-9397-08002B2CF9AE}" pid="4" name="ICV">
    <vt:lpwstr>B8EDB0667E36440C8291DCBB2223A6B2_13</vt:lpwstr>
  </property>
</Properties>
</file>