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Single-cell phylogenomics from scRNA-seq SNPs using scPhylogenomics: an end-to-end workflow for clonal tumor evolution analysis</w:t>
      </w:r>
    </w:p>
    <w:bookmarkStart w:id="9" w:name="editorial-summary"/>
    <w:p>
      <w:pPr>
        <w:pStyle w:val="Heading2"/>
      </w:pPr>
      <w:r>
        <w:t xml:space="preserve">Editorial summary</w:t>
      </w:r>
    </w:p>
    <w:p>
      <w:pPr>
        <w:pStyle w:val="FirstParagraph"/>
      </w:pPr>
      <w:r>
        <w:t xml:space="preserve">We present</w:t>
      </w:r>
      <w:r>
        <w:t xml:space="preserve"> </w:t>
      </w:r>
      <w:r>
        <w:rPr>
          <w:b/>
          <w:bCs/>
        </w:rPr>
        <w:t xml:space="preserve">scPhylogenomics</w:t>
      </w:r>
      <w:r>
        <w:t xml:space="preserve">, a modular and containerized end‑to‑end</w:t>
      </w:r>
      <w:r>
        <w:t xml:space="preserve"> </w:t>
      </w:r>
      <w:r>
        <w:t xml:space="preserve">workflow that infers clonal tumor evolution directly from 10x Genomics</w:t>
      </w:r>
      <w:r>
        <w:t xml:space="preserve"> </w:t>
      </w:r>
      <w:r>
        <w:t xml:space="preserve">single‑cell RNA‑sequencing (scRNA‑seq) data. The protocol exploits somatic</w:t>
      </w:r>
      <w:r>
        <w:t xml:space="preserve"> </w:t>
      </w:r>
      <w:r>
        <w:t xml:space="preserve">single‑nucleotide variants (SNVs) within transcriptomic reads to reconstruct</w:t>
      </w:r>
      <w:r>
        <w:t xml:space="preserve"> </w:t>
      </w:r>
      <w:r>
        <w:t xml:space="preserve">high‑resolution clonal histories without requiring matched single‑cell DNA</w:t>
      </w:r>
      <w:r>
        <w:t xml:space="preserve"> </w:t>
      </w:r>
      <w:r>
        <w:t xml:space="preserve">sequencing.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scPhylogenomics, a modular and containerized computational</w:t>
      </w:r>
      <w:r>
        <w:t xml:space="preserve"> </w:t>
      </w:r>
      <w:r>
        <w:t xml:space="preserve">workflow designed to infer clonal tumor evolution directly from 10x Genomics</w:t>
      </w:r>
      <w:r>
        <w:t xml:space="preserve"> </w:t>
      </w:r>
      <w:r>
        <w:t xml:space="preserve">scRNA‑seq data. Unlike standard transcriptomic pipelines that focus solely on</w:t>
      </w:r>
      <w:r>
        <w:t xml:space="preserve"> </w:t>
      </w:r>
      <w:r>
        <w:t xml:space="preserve">gene expression‑based cell states, this protocol exploits somatic</w:t>
      </w:r>
      <w:r>
        <w:t xml:space="preserve"> </w:t>
      </w:r>
      <w:r>
        <w:t xml:space="preserve">single‑nucleotide variants (SNVs) within transcriptomic reads to reconstruct</w:t>
      </w:r>
      <w:r>
        <w:t xml:space="preserve"> </w:t>
      </w:r>
      <w:r>
        <w:t xml:space="preserve">high‑resolution evolutionary histories. The procedure is organized into five</w:t>
      </w:r>
      <w:r>
        <w:t xml:space="preserve"> </w:t>
      </w:r>
      <w:r>
        <w:t xml:space="preserve">automated modules: rigorous preprocessing (SoupX, DoubletFinder, and miQC),</w:t>
      </w:r>
      <w:r>
        <w:t xml:space="preserve"> </w:t>
      </w:r>
      <w:r>
        <w:t xml:space="preserve">reference‑assisted cell typing (Seurat and SingleR), ploidy‑based malignancy</w:t>
      </w:r>
      <w:r>
        <w:t xml:space="preserve"> </w:t>
      </w:r>
      <w:r>
        <w:t xml:space="preserve">stratification (CopyKAT), optimized single‑cell SNV calling (cellsnp‑lite),</w:t>
      </w:r>
      <w:r>
        <w:t xml:space="preserve"> </w:t>
      </w:r>
      <w:r>
        <w:t xml:space="preserve">and maximum‑likelihood phylogeny reconstruction (FastTree or IQ‑TREE). A key</w:t>
      </w:r>
      <w:r>
        <w:t xml:space="preserve"> </w:t>
      </w:r>
      <w:r>
        <w:t xml:space="preserve">advantage of scPhylogenomics over existing tools is its unified interface for</w:t>
      </w:r>
      <w:r>
        <w:t xml:space="preserve"> </w:t>
      </w:r>
      <w:r>
        <w:t xml:space="preserve">clonal clustering, offering users a choice between deep‑learning–based</w:t>
      </w:r>
      <w:r>
        <w:t xml:space="preserve"> </w:t>
      </w:r>
      <w:r>
        <w:t xml:space="preserve">manifold methods (SNPmanifold) or hybrid hierarchical weighted non‑negative</w:t>
      </w:r>
      <w:r>
        <w:t xml:space="preserve"> </w:t>
      </w:r>
      <w:r>
        <w:t xml:space="preserve">matrix factorization (WNMF) to resolve complex subclonal architectures.</w:t>
      </w:r>
      <w:r>
        <w:t xml:space="preserve"> </w:t>
      </w:r>
      <w:r>
        <w:t xml:space="preserve">Using multi‑site samples from the MSK SPECTRUM HGSOC study as a primary case</w:t>
      </w:r>
      <w:r>
        <w:t xml:space="preserve"> </w:t>
      </w:r>
      <w:r>
        <w:t xml:space="preserve">study, users can expect to distinguish malignant from non‑malignant cells,</w:t>
      </w:r>
      <w:r>
        <w:t xml:space="preserve"> </w:t>
      </w:r>
      <w:r>
        <w:t xml:space="preserve">identify site‑enriched clones, and generate annotated phylogenetic trees that</w:t>
      </w:r>
      <w:r>
        <w:t xml:space="preserve"> </w:t>
      </w:r>
      <w:r>
        <w:t xml:space="preserve">reflect spatial patterns of metastasis. The end‑to‑end execution of the</w:t>
      </w:r>
      <w:r>
        <w:t xml:space="preserve"> </w:t>
      </w:r>
      <w:r>
        <w:t xml:space="preserve">workflow typically takes 24–48 hours depending on dataset size and available</w:t>
      </w:r>
      <w:r>
        <w:t xml:space="preserve"> </w:t>
      </w:r>
      <w:r>
        <w:t xml:space="preserve">high‑performance computing (HPC) resources, requiring basic experience with</w:t>
      </w:r>
      <w:r>
        <w:t xml:space="preserve"> </w:t>
      </w:r>
      <w:r>
        <w:t xml:space="preserve">command‑line and containerized environments.</w:t>
      </w:r>
    </w:p>
    <w:bookmarkEnd w:id="10"/>
    <w:bookmarkStart w:id="11" w:name="key-references"/>
    <w:p>
      <w:pPr>
        <w:pStyle w:val="Heading2"/>
      </w:pPr>
      <w:r>
        <w:t xml:space="preserve">Key references</w:t>
      </w:r>
    </w:p>
    <w:p>
      <w:pPr>
        <w:pStyle w:val="Compact"/>
        <w:numPr>
          <w:ilvl w:val="0"/>
          <w:numId w:val="1001"/>
        </w:numPr>
      </w:pPr>
      <w:r>
        <w:t xml:space="preserve">Workflow and case study application —</w:t>
      </w:r>
      <w:r>
        <w:t xml:space="preserve"> </w:t>
      </w:r>
      <w:r>
        <w:rPr>
          <w:i/>
          <w:iCs/>
        </w:rPr>
        <w:t xml:space="preserve">Wafula et al., in preparation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10x Genomics Cell Ranger pipeline —</w:t>
      </w:r>
      <w:r>
        <w:t xml:space="preserve"> </w:t>
      </w:r>
      <w:r>
        <w:rPr>
          <w:rStyle w:val="VerbatimChar"/>
        </w:rPr>
        <w:t xml:space="preserve">@url:https://www.10xgenomics.com/support/software/cell-ranger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SoupX, DoubletFinder, miQC — preprocessing references (TODO: add DOIs).</w:t>
      </w:r>
    </w:p>
    <w:p>
      <w:pPr>
        <w:pStyle w:val="Compact"/>
        <w:numPr>
          <w:ilvl w:val="0"/>
          <w:numId w:val="1001"/>
        </w:numPr>
      </w:pPr>
      <w:r>
        <w:t xml:space="preserve">Seurat and SingleR — cell‑typing references (TODO: add DOIs).</w:t>
      </w:r>
    </w:p>
    <w:p>
      <w:pPr>
        <w:pStyle w:val="Compact"/>
        <w:numPr>
          <w:ilvl w:val="0"/>
          <w:numId w:val="1001"/>
        </w:numPr>
      </w:pPr>
      <w:r>
        <w:t xml:space="preserve">CopyKAT — ploidy inference reference (TODO: add DOI).</w:t>
      </w:r>
    </w:p>
    <w:p>
      <w:pPr>
        <w:pStyle w:val="Compact"/>
        <w:numPr>
          <w:ilvl w:val="0"/>
          <w:numId w:val="1001"/>
        </w:numPr>
      </w:pPr>
      <w:r>
        <w:t xml:space="preserve">cellsnp‑lite — single‑cell genotyping reference (TODO: add DOI).</w:t>
      </w:r>
    </w:p>
    <w:p>
      <w:pPr>
        <w:pStyle w:val="Compact"/>
        <w:numPr>
          <w:ilvl w:val="0"/>
          <w:numId w:val="1001"/>
        </w:numPr>
      </w:pPr>
      <w:r>
        <w:t xml:space="preserve">FastTree, IQ‑TREE — maximum‑likelihood phylogenetics references (TODO: add DOIs).</w:t>
      </w:r>
    </w:p>
    <w:p>
      <w:pPr>
        <w:pStyle w:val="Compact"/>
        <w:numPr>
          <w:ilvl w:val="0"/>
          <w:numId w:val="1001"/>
        </w:numPr>
      </w:pPr>
      <w:r>
        <w:t xml:space="preserve">SNPmanifold — VAE‑based clonal clustering reference (TODO: add DOI).</w:t>
      </w:r>
    </w:p>
    <w:bookmarkEnd w:id="11"/>
    <w:bookmarkStart w:id="17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Single‑cell RNA sequencing (scRNA‑seq) has transformed cancer research by</w:t>
      </w:r>
      <w:r>
        <w:t xml:space="preserve"> </w:t>
      </w:r>
      <w:r>
        <w:t xml:space="preserve">enabling the resolution of intratumoral transcriptional heterogeneity at</w:t>
      </w:r>
      <w:r>
        <w:t xml:space="preserve"> </w:t>
      </w:r>
      <w:r>
        <w:t xml:space="preserve">single‑cell resolution. Conventional scRNA‑seq analysis workflows, however,</w:t>
      </w:r>
      <w:r>
        <w:t xml:space="preserve"> </w:t>
      </w:r>
      <w:r>
        <w:t xml:space="preserve">focus predominantly on gene expression–based questions — clustering cells</w:t>
      </w:r>
      <w:r>
        <w:t xml:space="preserve"> </w:t>
      </w:r>
      <w:r>
        <w:t xml:space="preserve">into phenotypic states, inferring trajectories, and identifying</w:t>
      </w:r>
      <w:r>
        <w:t xml:space="preserve"> </w:t>
      </w:r>
      <w:r>
        <w:t xml:space="preserve">differentially expressed genes — while largely overlooking the somatic</w:t>
      </w:r>
      <w:r>
        <w:t xml:space="preserve"> </w:t>
      </w:r>
      <w:r>
        <w:t xml:space="preserve">single‑nucleotide variants (SNVs) embedded in expressed transcripts. In</w:t>
      </w:r>
      <w:r>
        <w:t xml:space="preserve"> </w:t>
      </w:r>
      <w:r>
        <w:t xml:space="preserve">contrast, the reconstruction of tumor clonal architecture and evolutionary</w:t>
      </w:r>
      <w:r>
        <w:t xml:space="preserve"> </w:t>
      </w:r>
      <w:r>
        <w:t xml:space="preserve">histories is typically pursued using bulk or single‑cell DNA sequencing</w:t>
      </w:r>
      <w:r>
        <w:t xml:space="preserve"> </w:t>
      </w:r>
      <w:r>
        <w:t xml:space="preserve">(scDNA‑seq) and dedicated tumor phylogenetics tools. As a result, most</w:t>
      </w:r>
      <w:r>
        <w:t xml:space="preserve"> </w:t>
      </w:r>
      <w:r>
        <w:t xml:space="preserve">scRNA‑seq datasets remain underexploited with respect to clonal evolution,</w:t>
      </w:r>
      <w:r>
        <w:t xml:space="preserve"> </w:t>
      </w:r>
      <w:r>
        <w:t xml:space="preserve">despite containing sequence‑level information that could, in principle,</w:t>
      </w:r>
      <w:r>
        <w:t xml:space="preserve"> </w:t>
      </w:r>
      <w:r>
        <w:t xml:space="preserve">support phylogenetic inference.</w:t>
      </w:r>
    </w:p>
    <w:p>
      <w:pPr>
        <w:pStyle w:val="BodyText"/>
      </w:pPr>
      <w:r>
        <w:t xml:space="preserve">Inferring clonal structure from scRNA‑seq is challenging. Coverage is</w:t>
      </w:r>
      <w:r>
        <w:t xml:space="preserve"> </w:t>
      </w:r>
      <w:r>
        <w:t xml:space="preserve">restricted to expressed loci and shows strong locus‑ and cell‑specific</w:t>
      </w:r>
      <w:r>
        <w:t xml:space="preserve"> </w:t>
      </w:r>
      <w:r>
        <w:t xml:space="preserve">dropout, 3′/5′ capture biases in droplet‑based platforms distort the</w:t>
      </w:r>
      <w:r>
        <w:t xml:space="preserve"> </w:t>
      </w:r>
      <w:r>
        <w:t xml:space="preserve">representation of coding regions, and amplification noise and allelic</w:t>
      </w:r>
      <w:r>
        <w:t xml:space="preserve"> </w:t>
      </w:r>
      <w:r>
        <w:t xml:space="preserve">imbalance can mimic homoplasy or back‑mutation. These properties make</w:t>
      </w:r>
      <w:r>
        <w:t xml:space="preserve"> </w:t>
      </w:r>
      <w:r>
        <w:t xml:space="preserve">scRNA‑seq intrinsically less suited to</w:t>
      </w:r>
      <w:r>
        <w:t xml:space="preserve"> </w:t>
      </w:r>
      <w:r>
        <w:rPr>
          <w:i/>
          <w:iCs/>
        </w:rPr>
        <w:t xml:space="preserve">de novo</w:t>
      </w:r>
      <w:r>
        <w:t xml:space="preserve"> </w:t>
      </w:r>
      <w:r>
        <w:t xml:space="preserve">variant discovery than</w:t>
      </w:r>
      <w:r>
        <w:t xml:space="preserve"> </w:t>
      </w:r>
      <w:r>
        <w:t xml:space="preserve">scDNA‑seq, but they do not preclude phylogenomics if models and workflows</w:t>
      </w:r>
      <w:r>
        <w:t xml:space="preserve"> </w:t>
      </w:r>
      <w:r>
        <w:t xml:space="preserve">explicitly account for transcriptomic noise and the targeting of expressed</w:t>
      </w:r>
      <w:r>
        <w:t xml:space="preserve"> </w:t>
      </w:r>
      <w:r>
        <w:t xml:space="preserve">SNVs. Existing tumor phylogenetics methods such as SCITE, SCARLET and</w:t>
      </w:r>
      <w:r>
        <w:t xml:space="preserve"> </w:t>
      </w:r>
      <w:r>
        <w:t xml:space="preserve">related frameworks were primarily developed for bulk or scDNA‑seq data and</w:t>
      </w:r>
      <w:r>
        <w:t xml:space="preserve"> </w:t>
      </w:r>
      <w:r>
        <w:t xml:space="preserve">assume high‑quality, genome‑wide variant calls with well‑characterized error</w:t>
      </w:r>
      <w:r>
        <w:t xml:space="preserve"> </w:t>
      </w:r>
      <w:r>
        <w:t xml:space="preserve">models. Moreover, there is currently no widely adopted end‑to‑end protocol</w:t>
      </w:r>
      <w:r>
        <w:t xml:space="preserve"> </w:t>
      </w:r>
      <w:r>
        <w:t xml:space="preserve">that takes users from raw scRNA‑seq data through ambient RNA and doublet</w:t>
      </w:r>
      <w:r>
        <w:t xml:space="preserve"> </w:t>
      </w:r>
      <w:r>
        <w:t xml:space="preserve">removal, cell‑type annotation, ploidy‑based tumor/normal stratification,</w:t>
      </w:r>
      <w:r>
        <w:t xml:space="preserve"> </w:t>
      </w:r>
      <w:r>
        <w:t xml:space="preserve">scRNA‑seq–tailored SNV calling, generation of SNP‑based multiple sequence</w:t>
      </w:r>
      <w:r>
        <w:t xml:space="preserve"> </w:t>
      </w:r>
      <w:r>
        <w:t xml:space="preserve">alignments (MSAs) and clonal clustering, to produce interpretable clonal</w:t>
      </w:r>
      <w:r>
        <w:t xml:space="preserve"> </w:t>
      </w:r>
      <w:r>
        <w:t xml:space="preserve">phylogenies.</w:t>
      </w:r>
    </w:p>
    <w:p>
      <w:pPr>
        <w:pStyle w:val="BodyText"/>
      </w:pPr>
      <w:r>
        <w:t xml:space="preserve">Here we present</w:t>
      </w:r>
      <w:r>
        <w:t xml:space="preserve"> </w:t>
      </w:r>
      <w:r>
        <w:rPr>
          <w:b/>
          <w:bCs/>
        </w:rPr>
        <w:t xml:space="preserve">scPhylogenomics</w:t>
      </w:r>
      <w:r>
        <w:t xml:space="preserve">, a fully modular, scalable, and</w:t>
      </w:r>
      <w:r>
        <w:t xml:space="preserve"> </w:t>
      </w:r>
      <w:r>
        <w:t xml:space="preserve">reproducible computational workflow that performs single‑cell phylogenomics</w:t>
      </w:r>
      <w:r>
        <w:t xml:space="preserve"> </w:t>
      </w:r>
      <w:r>
        <w:t xml:space="preserve">from 10x Genomics Chromium scRNA‑seq data by integrating RNA‑based quality</w:t>
      </w:r>
      <w:r>
        <w:t xml:space="preserve"> </w:t>
      </w:r>
      <w:r>
        <w:t xml:space="preserve">control, reference‑guided cell‑type annotation, copy‑number–based ploidy</w:t>
      </w:r>
      <w:r>
        <w:t xml:space="preserve"> </w:t>
      </w:r>
      <w:r>
        <w:t xml:space="preserve">inference and SNV‑based phylogeny reconstruction into a single protocol. The</w:t>
      </w:r>
      <w:r>
        <w:t xml:space="preserve"> </w:t>
      </w:r>
      <w:r>
        <w:t xml:space="preserve">workflow is implemented as a GitHub repository with Docker and Singularity</w:t>
      </w:r>
      <w:r>
        <w:t xml:space="preserve"> </w:t>
      </w:r>
      <w:r>
        <w:t xml:space="preserve">container images, and we illustrate its use on high‑grade serous ovarian</w:t>
      </w:r>
      <w:r>
        <w:t xml:space="preserve"> </w:t>
      </w:r>
      <w:r>
        <w:t xml:space="preserve">cancer (HGSOC) samples from the MSK SPECTRUM study (SPECTRUM‑OV‑003).</w:t>
      </w:r>
    </w:p>
    <w:bookmarkStart w:id="12" w:name="development-of-the-protocol"/>
    <w:p>
      <w:pPr>
        <w:pStyle w:val="Heading3"/>
      </w:pPr>
      <w:r>
        <w:t xml:space="preserve">Development of the protocol</w:t>
      </w:r>
    </w:p>
    <w:p>
      <w:pPr>
        <w:pStyle w:val="FirstParagraph"/>
      </w:pPr>
      <w:r>
        <w:t xml:space="preserve">The scPhylogenomics protocol builds on three conceptual strands of prior</w:t>
      </w:r>
      <w:r>
        <w:t xml:space="preserve"> </w:t>
      </w:r>
      <w:r>
        <w:t xml:space="preserve">work: (i) robust preprocessing and quality control for droplet‑based</w:t>
      </w:r>
      <w:r>
        <w:t xml:space="preserve"> </w:t>
      </w:r>
      <w:r>
        <w:t xml:space="preserve">scRNA‑seq, (ii) reference‑based cell‑type annotation and ploidy inference</w:t>
      </w:r>
      <w:r>
        <w:t xml:space="preserve"> </w:t>
      </w:r>
      <w:r>
        <w:t xml:space="preserve">from expression data, and (iii) SNV‑based tumor phylogenetics and clonal</w:t>
      </w:r>
      <w:r>
        <w:t xml:space="preserve"> </w:t>
      </w:r>
      <w:r>
        <w:t xml:space="preserve">clustering.</w:t>
      </w:r>
    </w:p>
    <w:p>
      <w:pPr>
        <w:pStyle w:val="BodyText"/>
      </w:pPr>
      <w:r>
        <w:t xml:space="preserve">First, the preprocessing strategy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1) integrates</w:t>
      </w:r>
      <w:r>
        <w:t xml:space="preserve"> </w:t>
      </w:r>
      <w:r>
        <w:t xml:space="preserve">established tools for ambient RNA correction (SoupX), doublet detection</w:t>
      </w:r>
      <w:r>
        <w:t xml:space="preserve"> </w:t>
      </w:r>
      <w:r>
        <w:t xml:space="preserve">(DoubletFinder) and quality control based on mitochondrial content and gene</w:t>
      </w:r>
      <w:r>
        <w:t xml:space="preserve"> </w:t>
      </w:r>
      <w:r>
        <w:t xml:space="preserve">detection (miQC). These tools have been widely used in the scRNA‑seq</w:t>
      </w:r>
      <w:r>
        <w:t xml:space="preserve"> </w:t>
      </w:r>
      <w:r>
        <w:t xml:space="preserve">community but are usually deployed piecemeal, with users needing to embed</w:t>
      </w:r>
      <w:r>
        <w:t xml:space="preserve"> </w:t>
      </w:r>
      <w:r>
        <w:t xml:space="preserve">them in bespoke pipelines. scPhylogenomics formalizes their combination into</w:t>
      </w:r>
      <w:r>
        <w:t xml:space="preserve"> </w:t>
      </w:r>
      <w:r>
        <w:t xml:space="preserve">a standardized module that can be reused across projects.</w:t>
      </w:r>
    </w:p>
    <w:p>
      <w:pPr>
        <w:pStyle w:val="BodyText"/>
      </w:pPr>
      <w:r>
        <w:t xml:space="preserve">Second, the protocol leverages reference‑based methods to annotate cell</w:t>
      </w:r>
      <w:r>
        <w:t xml:space="preserve"> </w:t>
      </w:r>
      <w:r>
        <w:t xml:space="preserve">types and infer ploidy. For cell‑type annotation, scPhylogenomics uses</w:t>
      </w:r>
      <w:r>
        <w:t xml:space="preserve"> </w:t>
      </w:r>
      <w:r>
        <w:t xml:space="preserve">Seurat for integration and clustering and SingleR (with celldex references</w:t>
      </w:r>
      <w:r>
        <w:t xml:space="preserve"> </w:t>
      </w:r>
      <w:r>
        <w:t xml:space="preserve">or user‑supplied atlases) to transfer labels from well‑characterized</w:t>
      </w:r>
      <w:r>
        <w:t xml:space="preserve"> </w:t>
      </w:r>
      <w:r>
        <w:t xml:space="preserve">reference datasets to new scRNA‑seq data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2). For</w:t>
      </w:r>
      <w:r>
        <w:t xml:space="preserve"> </w:t>
      </w:r>
      <w:r>
        <w:t xml:space="preserve">ploidy inference, the protocol employs the</w:t>
      </w:r>
      <w:r>
        <w:t xml:space="preserve"> </w:t>
      </w:r>
      <w:r>
        <w:rPr>
          <w:b/>
          <w:bCs/>
        </w:rPr>
        <w:t xml:space="preserve">copykat</w:t>
      </w:r>
      <w:r>
        <w:t xml:space="preserve"> </w:t>
      </w:r>
      <w:r>
        <w:t xml:space="preserve">R package, which</w:t>
      </w:r>
      <w:r>
        <w:t xml:space="preserve"> </w:t>
      </w:r>
      <w:r>
        <w:t xml:space="preserve">infers genome‑wide copy‑number profiles from expression data and classifies</w:t>
      </w:r>
      <w:r>
        <w:t xml:space="preserve"> </w:t>
      </w:r>
      <w:r>
        <w:t xml:space="preserve">cells as aneuploid (putative malignant) or diploid (non‑malignant), thereby</w:t>
      </w:r>
      <w:r>
        <w:t xml:space="preserve"> </w:t>
      </w:r>
      <w:r>
        <w:t xml:space="preserve">operationalizing the observation that many solid tumors exhibit pervasive</w:t>
      </w:r>
      <w:r>
        <w:t xml:space="preserve"> </w:t>
      </w:r>
      <w:r>
        <w:t xml:space="preserve">aneuploidy while stromal and immune cells remain near‑diploid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3).</w:t>
      </w:r>
    </w:p>
    <w:p>
      <w:pPr>
        <w:pStyle w:val="BodyText"/>
      </w:pPr>
      <w:r>
        <w:t xml:space="preserve">Third, scPhylogenomics extends ideas from tumor phylogenetics and</w:t>
      </w:r>
      <w:r>
        <w:t xml:space="preserve"> </w:t>
      </w:r>
      <w:r>
        <w:t xml:space="preserve">single‑cell genotyping to scRNA‑seq. It adopts</w:t>
      </w:r>
      <w:r>
        <w:t xml:space="preserve"> </w:t>
      </w:r>
      <w:r>
        <w:rPr>
          <w:b/>
          <w:bCs/>
        </w:rPr>
        <w:t xml:space="preserve">cellsnp‑lite</w:t>
      </w:r>
      <w:r>
        <w:t xml:space="preserve">, originally</w:t>
      </w:r>
      <w:r>
        <w:t xml:space="preserve"> </w:t>
      </w:r>
      <w:r>
        <w:t xml:space="preserve">developed for efficient genotyping of known SNPs from scRNA‑seq and</w:t>
      </w:r>
      <w:r>
        <w:t xml:space="preserve"> </w:t>
      </w:r>
      <w:r>
        <w:t xml:space="preserve">scDNA‑seq, to perform cell‑type–specific SNV calling from 10x Chromium BAM</w:t>
      </w:r>
      <w:r>
        <w:t xml:space="preserve"> </w:t>
      </w:r>
      <w:r>
        <w:t xml:space="preserve">files and to generate genotype matrices (allele depth, total depth and other</w:t>
      </w:r>
      <w:r>
        <w:t xml:space="preserve"> </w:t>
      </w:r>
      <w:r>
        <w:t xml:space="preserve">alleles)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4, scripts</w:t>
      </w:r>
      <w:r>
        <w:t xml:space="preserve"> </w:t>
      </w:r>
      <w:r>
        <w:rPr>
          <w:rStyle w:val="VerbatimChar"/>
        </w:rPr>
        <w:t xml:space="preserve">02-snv-calling.py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utils/run-cellsnp-lite.sh</w:t>
      </w:r>
      <w:r>
        <w:t xml:space="preserve">). From these matrices, the protocol constructs</w:t>
      </w:r>
      <w:r>
        <w:t xml:space="preserve"> </w:t>
      </w:r>
      <w:r>
        <w:t xml:space="preserve">SNP‑based MSAs in which each cell is encoded as a nucleotide sequence</w:t>
      </w:r>
      <w:r>
        <w:t xml:space="preserve"> </w:t>
      </w:r>
      <w:r>
        <w:t xml:space="preserve">across ordered SNP loci, together with binary/tertiary mutation profiles</w:t>
      </w:r>
      <w:r>
        <w:t xml:space="preserve"> </w:t>
      </w:r>
      <w:r>
        <w:t xml:space="preserve">(0/1/3 for reference/alternate/missing) for clustering (see</w:t>
      </w:r>
      <w:r>
        <w:t xml:space="preserve"> </w:t>
      </w:r>
      <w:r>
        <w:rPr>
          <w:rStyle w:val="VerbatimChar"/>
        </w:rPr>
        <w:t xml:space="preserve">03-generate-snp-msa.py</w:t>
      </w:r>
      <w:r>
        <w:t xml:space="preserve">). This representation allows the use of</w:t>
      </w:r>
      <w:r>
        <w:t xml:space="preserve"> </w:t>
      </w:r>
      <w:r>
        <w:t xml:space="preserve">maximum‑likelihood phylogenetic software such as FastTree and IQ‑TREE and</w:t>
      </w:r>
      <w:r>
        <w:t xml:space="preserve"> </w:t>
      </w:r>
      <w:r>
        <w:t xml:space="preserve">supports downstream clonal clustering using both a deep‑learning variational</w:t>
      </w:r>
      <w:r>
        <w:t xml:space="preserve"> </w:t>
      </w:r>
      <w:r>
        <w:t xml:space="preserve">autoencoder (SNPmanifold) and a hierarchical weighted non‑negative matrix</w:t>
      </w:r>
      <w:r>
        <w:t xml:space="preserve"> </w:t>
      </w:r>
      <w:r>
        <w:t xml:space="preserve">factorization (WNMF) approach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5,</w:t>
      </w:r>
      <w:r>
        <w:t xml:space="preserve"> </w:t>
      </w:r>
      <w:r>
        <w:rPr>
          <w:rStyle w:val="VerbatimChar"/>
        </w:rPr>
        <w:t xml:space="preserve">01-phylogeny-inference.py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03-snp-clustering.py</w:t>
      </w:r>
      <w:r>
        <w:t xml:space="preserve">).</w:t>
      </w:r>
    </w:p>
    <w:p>
      <w:pPr>
        <w:pStyle w:val="BodyText"/>
      </w:pPr>
      <w:r>
        <w:t xml:space="preserve">The development of scPhylogenomics was motivated by the need to resolve</w:t>
      </w:r>
      <w:r>
        <w:t xml:space="preserve"> </w:t>
      </w:r>
      <w:r>
        <w:t xml:space="preserve">clonal divergence in tumor scRNA‑seq data across both complex multi‑site</w:t>
      </w:r>
      <w:r>
        <w:t xml:space="preserve"> </w:t>
      </w:r>
      <w:r>
        <w:t xml:space="preserve">cohorts, such as the MSK SPECTRUM HGSOC study, and more conventional</w:t>
      </w:r>
      <w:r>
        <w:t xml:space="preserve"> </w:t>
      </w:r>
      <w:r>
        <w:t xml:space="preserve">single‑site or single‑sample datasets, where pervasive aneuploidy and</w:t>
      </w:r>
      <w:r>
        <w:t xml:space="preserve"> </w:t>
      </w:r>
      <w:r>
        <w:t xml:space="preserve">intra‑tumoral heterogeneity pose similar analytical challenges. The protocol</w:t>
      </w:r>
      <w:r>
        <w:t xml:space="preserve"> </w:t>
      </w:r>
      <w:r>
        <w:t xml:space="preserve">formalizes an analysis workflow we developed, organizing the method into</w:t>
      </w:r>
      <w:r>
        <w:t xml:space="preserve"> </w:t>
      </w:r>
      <w:r>
        <w:t xml:space="preserve">five modules that can be run sequentially as an end‑to‑end pipeline or</w:t>
      </w:r>
      <w:r>
        <w:t xml:space="preserve"> </w:t>
      </w:r>
      <w:r>
        <w:t xml:space="preserve">selectively applied to address related questions in tumor evolution and</w:t>
      </w:r>
      <w:r>
        <w:t xml:space="preserve"> </w:t>
      </w:r>
      <w:r>
        <w:t xml:space="preserve">clonal architecture.</w:t>
      </w:r>
    </w:p>
    <w:bookmarkEnd w:id="12"/>
    <w:bookmarkStart w:id="14" w:name="overview-of-the-procedure"/>
    <w:p>
      <w:pPr>
        <w:pStyle w:val="Heading3"/>
      </w:pPr>
      <w:r>
        <w:t xml:space="preserve">Overview of the procedure</w:t>
      </w:r>
    </w:p>
    <w:p>
      <w:pPr>
        <w:pStyle w:val="FirstParagraph"/>
      </w:pPr>
      <w:r>
        <w:t xml:space="preserve">The scPhylogenomics workflow is organized into five continuous modules that</w:t>
      </w:r>
      <w:r>
        <w:t xml:space="preserve"> </w:t>
      </w:r>
      <w:r>
        <w:t xml:space="preserve">transform Cell Ranger–processed 10x scRNA‑seq data into annotated clonal</w:t>
      </w:r>
      <w:r>
        <w:t xml:space="preserve"> </w:t>
      </w:r>
      <w:r>
        <w:t xml:space="preserve">phylogenies (Fig. {</w:t>
      </w:r>
      <w:r>
        <w:t xml:space="preserve">@fig:workflow-overview</w:t>
      </w:r>
      <w:r>
        <w:t xml:space="preserve">}).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Preprocessing.</w:t>
      </w:r>
      <w:r>
        <w:t xml:space="preserve"> </w:t>
      </w:r>
      <w:r>
        <w:t xml:space="preserve">This module (</w:t>
      </w:r>
      <w:r>
        <w:rPr>
          <w:i/>
          <w:iCs/>
        </w:rPr>
        <w:t xml:space="preserve">Procedure</w:t>
      </w:r>
      <w:r>
        <w:t xml:space="preserve">, Module 1) automates</w:t>
      </w:r>
      <w:r>
        <w:t xml:space="preserve"> </w:t>
      </w:r>
      <w:r>
        <w:t xml:space="preserve">high‑throughput quality control of 10x Genomics Chromium scRNA‑seq data</w:t>
      </w:r>
      <w:r>
        <w:t xml:space="preserve"> </w:t>
      </w:r>
      <w:r>
        <w:t xml:space="preserve">by sequentially removing ambient RNA, excluding doublets, and filtering</w:t>
      </w:r>
      <w:r>
        <w:t xml:space="preserve"> </w:t>
      </w:r>
      <w:r>
        <w:t xml:space="preserve">low‑quality cells to generate cleaned feature‑barcode matrices for each</w:t>
      </w:r>
      <w:r>
        <w:t xml:space="preserve"> </w:t>
      </w:r>
      <w:r>
        <w:t xml:space="preserve">sample. Starting from the raw Cell Ranger count outputs (barcodes,</w:t>
      </w:r>
      <w:r>
        <w:t xml:space="preserve"> </w:t>
      </w:r>
      <w:r>
        <w:t xml:space="preserve">features, and count matrices), the wrapper script</w:t>
      </w:r>
      <w:r>
        <w:t xml:space="preserve"> </w:t>
      </w:r>
      <w:r>
        <w:rPr>
          <w:rStyle w:val="VerbatimChar"/>
        </w:rPr>
        <w:t xml:space="preserve">run-data-preprocessing.sh</w:t>
      </w:r>
      <w:r>
        <w:t xml:space="preserve"> </w:t>
      </w:r>
      <w:r>
        <w:t xml:space="preserve">calls three R scripts in series:</w:t>
      </w:r>
      <w:r>
        <w:t xml:space="preserve"> </w:t>
      </w:r>
      <w:r>
        <w:rPr>
          <w:rStyle w:val="VerbatimChar"/>
        </w:rPr>
        <w:t xml:space="preserve">01-remove-ambient-rna.R</w:t>
      </w:r>
      <w:r>
        <w:t xml:space="preserve"> </w:t>
      </w:r>
      <w:r>
        <w:t xml:space="preserve">(SoupX),</w:t>
      </w:r>
      <w:r>
        <w:t xml:space="preserve"> </w:t>
      </w:r>
      <w:r>
        <w:rPr>
          <w:rStyle w:val="VerbatimChar"/>
        </w:rPr>
        <w:t xml:space="preserve">02-remove-doublets.R</w:t>
      </w:r>
      <w:r>
        <w:t xml:space="preserve"> </w:t>
      </w:r>
      <w:r>
        <w:t xml:space="preserve">(DoubletFinder), and</w:t>
      </w:r>
      <w:r>
        <w:t xml:space="preserve"> </w:t>
      </w:r>
      <w:r>
        <w:rPr>
          <w:rStyle w:val="VerbatimChar"/>
        </w:rPr>
        <w:t xml:space="preserve">03-remove-compromised.R</w:t>
      </w:r>
      <w:r>
        <w:t xml:space="preserve"> </w:t>
      </w:r>
      <w:r>
        <w:t xml:space="preserve">(miQC).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Cell Typing.</w:t>
      </w:r>
      <w:r>
        <w:t xml:space="preserve"> </w:t>
      </w:r>
      <w:r>
        <w:t xml:space="preserve">This module (</w:t>
      </w:r>
      <w:r>
        <w:rPr>
          <w:i/>
          <w:iCs/>
        </w:rPr>
        <w:t xml:space="preserve">Procedure</w:t>
      </w:r>
      <w:r>
        <w:t xml:space="preserve">, Module 2) consolidates</w:t>
      </w:r>
      <w:r>
        <w:t xml:space="preserve"> </w:t>
      </w:r>
      <w:r>
        <w:t xml:space="preserve">miQC‑filtered samples into a merged or integrated Seurat object and</w:t>
      </w:r>
      <w:r>
        <w:t xml:space="preserve"> </w:t>
      </w:r>
      <w:r>
        <w:t xml:space="preserve">performs reference‑assisted cell‑type annotation. The wrapper</w:t>
      </w:r>
      <w:r>
        <w:t xml:space="preserve"> </w:t>
      </w:r>
      <w:r>
        <w:rPr>
          <w:rStyle w:val="VerbatimChar"/>
        </w:rPr>
        <w:t xml:space="preserve">run-cell-typing.sh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01-consolidate-samples.R</w:t>
      </w:r>
      <w:r>
        <w:t xml:space="preserve"> </w:t>
      </w:r>
      <w:r>
        <w:t xml:space="preserve">(Seurat,</w:t>
      </w:r>
      <w:r>
        <w:t xml:space="preserve"> </w:t>
      </w:r>
      <w:r>
        <w:t xml:space="preserve">Harmony/CCA/FastMNN/RPCA) and</w:t>
      </w:r>
      <w:r>
        <w:t xml:space="preserve"> </w:t>
      </w:r>
      <w:r>
        <w:rPr>
          <w:rStyle w:val="VerbatimChar"/>
        </w:rPr>
        <w:t xml:space="preserve">02-annotate-cell-types.R</w:t>
      </w:r>
      <w:r>
        <w:t xml:space="preserve"> </w:t>
      </w:r>
      <w:r>
        <w:t xml:space="preserve">(SingleR with</w:t>
      </w:r>
      <w:r>
        <w:t xml:space="preserve"> </w:t>
      </w:r>
      <w:r>
        <w:t xml:space="preserve">celldex, custom Seurat objects, or external mapping files) and</w:t>
      </w:r>
      <w:r>
        <w:t xml:space="preserve"> </w:t>
      </w:r>
      <w:r>
        <w:t xml:space="preserve">produces UMAPs, heatmaps, and annotation tables.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Ploidy Inference.</w:t>
      </w:r>
      <w:r>
        <w:t xml:space="preserve"> </w:t>
      </w:r>
      <w:r>
        <w:t xml:space="preserve">This module (</w:t>
      </w:r>
      <w:r>
        <w:rPr>
          <w:i/>
          <w:iCs/>
        </w:rPr>
        <w:t xml:space="preserve">Procedure</w:t>
      </w:r>
      <w:r>
        <w:t xml:space="preserve">, Module 3) applies</w:t>
      </w:r>
      <w:r>
        <w:t xml:space="preserve"> </w:t>
      </w:r>
      <w:r>
        <w:rPr>
          <w:rStyle w:val="VerbatimChar"/>
        </w:rPr>
        <w:t xml:space="preserve">01-classify-cell-ploidy.R</w:t>
      </w:r>
      <w:r>
        <w:t xml:space="preserve"> </w:t>
      </w:r>
      <w:r>
        <w:t xml:space="preserve">to annotated Seurat objects using</w:t>
      </w:r>
      <w:r>
        <w:t xml:space="preserve"> </w:t>
      </w:r>
      <w:r>
        <w:rPr>
          <w:b/>
          <w:bCs/>
        </w:rPr>
        <w:t xml:space="preserve">copykat</w:t>
      </w:r>
      <w:r>
        <w:t xml:space="preserve"> </w:t>
      </w:r>
      <w:r>
        <w:t xml:space="preserve">to infer genome‑wide copy‑number profiles and stratify cells</w:t>
      </w:r>
      <w:r>
        <w:t xml:space="preserve"> </w:t>
      </w:r>
      <w:r>
        <w:t xml:space="preserve">into aneuploid (malignant), diploid (normal), or uncertain classes.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SNV Calling.</w:t>
      </w:r>
      <w:r>
        <w:t xml:space="preserve"> </w:t>
      </w:r>
      <w:r>
        <w:t xml:space="preserve">This module (</w:t>
      </w:r>
      <w:r>
        <w:rPr>
          <w:i/>
          <w:iCs/>
        </w:rPr>
        <w:t xml:space="preserve">Procedure</w:t>
      </w:r>
      <w:r>
        <w:t xml:space="preserve">, Module 4) performs cell</w:t>
      </w:r>
      <w:r>
        <w:t xml:space="preserve"> </w:t>
      </w:r>
      <w:r>
        <w:t xml:space="preserve">type–specific somatic SNV calling and constructs SNP‑based pseudo‑MSAs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01-get-cell-type-barcodes.R</w:t>
      </w:r>
      <w:r>
        <w:t xml:space="preserve">,</w:t>
      </w:r>
      <w:r>
        <w:t xml:space="preserve"> </w:t>
      </w:r>
      <w:r>
        <w:rPr>
          <w:rStyle w:val="VerbatimChar"/>
        </w:rPr>
        <w:t xml:space="preserve">02-snv-calling.py</w:t>
      </w:r>
      <w:r>
        <w:t xml:space="preserve"> </w:t>
      </w:r>
      <w:r>
        <w:t xml:space="preserve">(cellsnp‑lite</w:t>
      </w:r>
      <w:r>
        <w:t xml:space="preserve"> </w:t>
      </w:r>
      <w:r>
        <w:t xml:space="preserve">driver), and</w:t>
      </w:r>
      <w:r>
        <w:t xml:space="preserve"> </w:t>
      </w:r>
      <w:r>
        <w:rPr>
          <w:rStyle w:val="VerbatimChar"/>
        </w:rPr>
        <w:t xml:space="preserve">03-generate-snp-msa.py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Phylogeny Inference.</w:t>
      </w:r>
      <w:r>
        <w:t xml:space="preserve"> </w:t>
      </w:r>
      <w:r>
        <w:t xml:space="preserve">This module (</w:t>
      </w:r>
      <w:r>
        <w:rPr>
          <w:i/>
          <w:iCs/>
        </w:rPr>
        <w:t xml:space="preserve">Procedure</w:t>
      </w:r>
      <w:r>
        <w:t xml:space="preserve">, Module 5) reconstructs</w:t>
      </w:r>
      <w:r>
        <w:t xml:space="preserve"> </w:t>
      </w:r>
      <w:r>
        <w:t xml:space="preserve">single‑cell clonal histories by coupling maximum‑likelihood tree building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01-phylogeny-inference.py</w:t>
      </w:r>
      <w:r>
        <w:t xml:space="preserve"> </w:t>
      </w:r>
      <w:r>
        <w:t xml:space="preserve">— FastTree/IQ‑TREE) with dual clonal</w:t>
      </w:r>
      <w:r>
        <w:t xml:space="preserve"> </w:t>
      </w:r>
      <w:r>
        <w:t xml:space="preserve">clustering strategies (</w:t>
      </w:r>
      <w:r>
        <w:rPr>
          <w:rStyle w:val="VerbatimChar"/>
        </w:rPr>
        <w:t xml:space="preserve">03-snp-clustering.py</w:t>
      </w:r>
      <w:r>
        <w:t xml:space="preserve"> </w:t>
      </w:r>
      <w:r>
        <w:t xml:space="preserve">— SNPmanifold or</w:t>
      </w:r>
      <w:r>
        <w:t xml:space="preserve"> </w:t>
      </w:r>
      <w:r>
        <w:t xml:space="preserve">hierarchical WNMF) and overlays clone, ploidy, cell type, and sample</w:t>
      </w:r>
      <w:r>
        <w:t xml:space="preserve"> </w:t>
      </w:r>
      <w:r>
        <w:t xml:space="preserve">metadata via</w:t>
      </w:r>
      <w:r>
        <w:t xml:space="preserve"> </w:t>
      </w:r>
      <w:r>
        <w:rPr>
          <w:rStyle w:val="VerbatimChar"/>
        </w:rPr>
        <w:t xml:space="preserve">04-infer-clonal-phylogeny.R</w:t>
      </w:r>
      <w:r>
        <w:t xml:space="preserve">.</w:t>
      </w:r>
    </w:p>
    <w:p>
      <w:pPr>
        <w:pStyle w:val="FirstParagraph"/>
      </w:pPr>
      <w:r>
        <w:t xml:space="preserve">A schematic flowchart (Fig. {</w:t>
      </w:r>
      <w:r>
        <w:t xml:space="preserve">@fig:workflow-overview</w:t>
      </w:r>
      <w:r>
        <w:t xml:space="preserve">}) summarizes the data</w:t>
      </w:r>
      <w:r>
        <w:t xml:space="preserve"> </w:t>
      </w:r>
      <w:r>
        <w:t xml:space="preserve">flow and outputs of each module, and the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section describes the</w:t>
      </w:r>
      <w:r>
        <w:t xml:space="preserve"> </w:t>
      </w:r>
      <w:r>
        <w:t xml:space="preserve">execution of these scripts in detail.</w:t>
      </w:r>
    </w:p>
    <w:bookmarkStart w:id="13" w:name="fig:workflow-overview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Schematic of the scPhylogenomics end‑to‑end workflow showing the five</w:t>
            </w:r>
            <w:r>
              <w:t xml:space="preserve"> </w:t>
            </w:r>
            <w:r>
              <w:t xml:space="preserve">modules — data preprocessing, cell typing, ploidy inference, SNV calling</w:t>
            </w:r>
            <w:r>
              <w:t xml:space="preserve"> </w:t>
            </w:r>
            <w:r>
              <w:t xml:space="preserve">and phylogeny inference — together with the principal inputs and outputs of</w:t>
            </w:r>
            <w:r>
              <w:t xml:space="preserve"> </w:t>
            </w:r>
            <w:r>
              <w:t xml:space="preserve">each module.</w:t>
            </w:r>
            <w:r>
              <w:t xml:space="preserve"> </w:t>
            </w:r>
            <w:r>
              <w:rPr>
                <w:b/>
                <w:bCs/>
              </w:rPr>
              <w:t xml:space="preserve">Placeholder figure — replace with the final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content/images/workflow-overview.png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exported from the lab figure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master.</w:t>
            </w:r>
          </w:p>
        </w:tc>
      </w:tr>
    </w:tbl>
    <w:p>
      <w:pPr>
        <w:pStyle w:val="ImageCaption"/>
      </w:pPr>
      <w:r>
        <w:t xml:space="preserve">Schematic of the scPhylogenomics end‑to‑end workflow showing the five</w:t>
      </w:r>
      <w:r>
        <w:t xml:space="preserve"> </w:t>
      </w:r>
      <w:r>
        <w:t xml:space="preserve">modules — data preprocessing, cell typing, ploidy inference, SNV calling</w:t>
      </w:r>
      <w:r>
        <w:t xml:space="preserve"> </w:t>
      </w:r>
      <w:r>
        <w:t xml:space="preserve">and phylogeny inference — together with the principal inputs and outputs of</w:t>
      </w:r>
      <w:r>
        <w:t xml:space="preserve"> </w:t>
      </w:r>
      <w:r>
        <w:t xml:space="preserve">each module.</w:t>
      </w:r>
      <w:r>
        <w:t xml:space="preserve"> </w:t>
      </w:r>
      <w:r>
        <w:rPr>
          <w:b/>
          <w:bCs/>
        </w:rPr>
        <w:t xml:space="preserve">Placeholder figure — replace with the final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content/images/workflow-overview.png</w:t>
      </w:r>
      <w:r>
        <w:rPr>
          <w:b/>
          <w:bCs/>
        </w:rPr>
        <w:t xml:space="preserve"> </w:t>
      </w:r>
      <w:r>
        <w:rPr>
          <w:b/>
          <w:bCs/>
        </w:rPr>
        <w:t xml:space="preserve">exported from the lab figure</w:t>
      </w:r>
      <w:r>
        <w:rPr>
          <w:b/>
          <w:bCs/>
        </w:rPr>
        <w:t xml:space="preserve"> </w:t>
      </w:r>
      <w:r>
        <w:rPr>
          <w:b/>
          <w:bCs/>
        </w:rPr>
        <w:t xml:space="preserve">master.</w:t>
      </w:r>
    </w:p>
    <w:bookmarkEnd w:id="13"/>
    <w:bookmarkEnd w:id="14"/>
    <w:bookmarkStart w:id="15" w:name="applications"/>
    <w:p>
      <w:pPr>
        <w:pStyle w:val="Heading3"/>
      </w:pPr>
      <w:r>
        <w:t xml:space="preserve">Applications</w:t>
      </w:r>
    </w:p>
    <w:p>
      <w:pPr>
        <w:pStyle w:val="FirstParagraph"/>
      </w:pPr>
      <w:r>
        <w:t xml:space="preserve">scPhylogenomics is intended for researchers who wish to leverage scRNA‑seq</w:t>
      </w:r>
      <w:r>
        <w:t xml:space="preserve"> </w:t>
      </w:r>
      <w:r>
        <w:t xml:space="preserve">data to study clonal tumor evolution, particularly in settings where matched</w:t>
      </w:r>
      <w:r>
        <w:t xml:space="preserve"> </w:t>
      </w:r>
      <w:r>
        <w:t xml:space="preserve">scDNA‑seq is unavailable or impractical. Proven and potential applications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Reconstruction of tumor clonal phylogenies from scRNA‑seq.</w:t>
      </w:r>
      <w:r>
        <w:t xml:space="preserve"> </w:t>
      </w:r>
      <w:r>
        <w:t xml:space="preserve">By</w:t>
      </w:r>
      <w:r>
        <w:t xml:space="preserve"> </w:t>
      </w:r>
      <w:r>
        <w:t xml:space="preserve">generating SNP‑based MSAs and mutation profiles from scRNA‑seq,</w:t>
      </w:r>
      <w:r>
        <w:t xml:space="preserve"> </w:t>
      </w:r>
      <w:r>
        <w:t xml:space="preserve">scPhylogenomics enables maximum‑likelihood tree inference and clonal</w:t>
      </w:r>
      <w:r>
        <w:t xml:space="preserve"> </w:t>
      </w:r>
      <w:r>
        <w:t xml:space="preserve">clustering at single‑cell resolution.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Dissection of intratumoral heterogeneity and metastatic spread.</w:t>
      </w:r>
      <w:r>
        <w:t xml:space="preserve"> </w:t>
      </w:r>
      <w:r>
        <w:t xml:space="preserve">In the</w:t>
      </w:r>
      <w:r>
        <w:t xml:space="preserve"> </w:t>
      </w:r>
      <w:r>
        <w:t xml:space="preserve">MSK SPECTRUM HGSOC case study, the protocol distinguishes malignant from</w:t>
      </w:r>
      <w:r>
        <w:t xml:space="preserve"> </w:t>
      </w:r>
      <w:r>
        <w:t xml:space="preserve">non‑malignant cells, reveals aneuploid clones enriched at specific</w:t>
      </w:r>
      <w:r>
        <w:t xml:space="preserve"> </w:t>
      </w:r>
      <w:r>
        <w:t xml:space="preserve">intraperitoneal sites and reconstructs phylogenies consistent with spatial</w:t>
      </w:r>
      <w:r>
        <w:t xml:space="preserve"> </w:t>
      </w:r>
      <w:r>
        <w:t xml:space="preserve">patterns of metastasis.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of genotype and transcriptional phenotype.</w:t>
      </w:r>
      <w:r>
        <w:t xml:space="preserve"> </w:t>
      </w:r>
      <w:r>
        <w:t xml:space="preserve">Because clonal</w:t>
      </w:r>
      <w:r>
        <w:t xml:space="preserve"> </w:t>
      </w:r>
      <w:r>
        <w:t xml:space="preserve">assignments and ploidy labels can be mapped back onto expression‑derived</w:t>
      </w:r>
      <w:r>
        <w:t xml:space="preserve"> </w:t>
      </w:r>
      <w:r>
        <w:t xml:space="preserve">embeddings (e.g., UMAPs), scPhylogenomics supports joint analysis of</w:t>
      </w:r>
      <w:r>
        <w:t xml:space="preserve"> </w:t>
      </w:r>
      <w:r>
        <w:t xml:space="preserve">evolutionary lineage, cell state and microenvironmental context.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Comparative studies across tumor types.</w:t>
      </w:r>
      <w:r>
        <w:t xml:space="preserve"> </w:t>
      </w:r>
      <w:r>
        <w:t xml:space="preserve">The workflow is demonstrated</w:t>
      </w:r>
      <w:r>
        <w:t xml:space="preserve"> </w:t>
      </w:r>
      <w:r>
        <w:t xml:space="preserve">on HGSOC, TNBC and AML datasets to illustrate its generalizability across</w:t>
      </w:r>
      <w:r>
        <w:t xml:space="preserve"> </w:t>
      </w:r>
      <w:r>
        <w:t xml:space="preserve">epithelial and hematologic malignancies.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 benchmarking and development.</w:t>
      </w:r>
      <w:r>
        <w:t xml:space="preserve"> </w:t>
      </w:r>
      <w:r>
        <w:t xml:space="preserve">The modular design (e.g.,</w:t>
      </w:r>
      <w:r>
        <w:t xml:space="preserve"> </w:t>
      </w:r>
      <w:r>
        <w:t xml:space="preserve">pluggable SNV filters, clustering methods) makes scPhylogenomics suitable</w:t>
      </w:r>
      <w:r>
        <w:t xml:space="preserve"> </w:t>
      </w:r>
      <w:r>
        <w:t xml:space="preserve">as a testbed for new scRNA‑seq genotyping models, phylogenetic algorithms</w:t>
      </w:r>
      <w:r>
        <w:t xml:space="preserve"> </w:t>
      </w:r>
      <w:r>
        <w:t xml:space="preserve">or integrative multi‑omic approaches.</w:t>
      </w:r>
    </w:p>
    <w:bookmarkEnd w:id="15"/>
    <w:bookmarkStart w:id="16" w:name="comparison-to-other-methods"/>
    <w:p>
      <w:pPr>
        <w:pStyle w:val="Heading3"/>
      </w:pPr>
      <w:r>
        <w:t xml:space="preserve">Comparison to other methods</w:t>
      </w:r>
    </w:p>
    <w:p>
      <w:pPr>
        <w:pStyle w:val="FirstParagraph"/>
      </w:pPr>
      <w:r>
        <w:t xml:space="preserve">Several existing methods address individual components of the</w:t>
      </w:r>
      <w:r>
        <w:t xml:space="preserve"> </w:t>
      </w:r>
      <w:r>
        <w:t xml:space="preserve">scPhylogenomics workflow, but to our knowledge no published protocol</w:t>
      </w:r>
      <w:r>
        <w:t xml:space="preserve"> </w:t>
      </w:r>
      <w:r>
        <w:t xml:space="preserve">provides an integrated, containerized pipeline for scRNA‑seq–based tumor</w:t>
      </w:r>
      <w:r>
        <w:t xml:space="preserve"> </w:t>
      </w:r>
      <w:r>
        <w:t xml:space="preserve">phylogenomics. On the preprocessing and quality‑control side, frameworks</w:t>
      </w:r>
      <w:r>
        <w:t xml:space="preserve"> </w:t>
      </w:r>
      <w:r>
        <w:t xml:space="preserve">such as Seurat, Scanpy and scater implement normalization, dimension</w:t>
      </w:r>
      <w:r>
        <w:t xml:space="preserve"> </w:t>
      </w:r>
      <w:r>
        <w:t xml:space="preserve">reduction and clustering but leave ambient RNA, doublet detection and</w:t>
      </w:r>
      <w:r>
        <w:t xml:space="preserve"> </w:t>
      </w:r>
      <w:r>
        <w:t xml:space="preserve">mitochondrial QC to separate tools. SoupX, DoubletFinder and miQC are widely</w:t>
      </w:r>
      <w:r>
        <w:t xml:space="preserve"> </w:t>
      </w:r>
      <w:r>
        <w:t xml:space="preserve">used to address these issues, yet users typically need to orchestrate them</w:t>
      </w:r>
      <w:r>
        <w:t xml:space="preserve"> </w:t>
      </w:r>
      <w:r>
        <w:t xml:space="preserve">manually. scPhylogenomics standardizes this combination and ensures that</w:t>
      </w:r>
      <w:r>
        <w:t xml:space="preserve"> </w:t>
      </w:r>
      <w:r>
        <w:t xml:space="preserve">barcodes propagated into SNV calling are already filtered for major</w:t>
      </w:r>
      <w:r>
        <w:t xml:space="preserve"> </w:t>
      </w:r>
      <w:r>
        <w:t xml:space="preserve">technical artifacts.</w:t>
      </w:r>
    </w:p>
    <w:p>
      <w:pPr>
        <w:pStyle w:val="BodyText"/>
      </w:pPr>
      <w:r>
        <w:t xml:space="preserve">For SNV calling from scRNA‑seq, general‑purpose tools (for example, GATK</w:t>
      </w:r>
      <w:r>
        <w:t xml:space="preserve"> </w:t>
      </w:r>
      <w:r>
        <w:t xml:space="preserve">RNA‑seq best practices) are not optimized for ultra‑sparse single‑cell data</w:t>
      </w:r>
      <w:r>
        <w:t xml:space="preserve"> </w:t>
      </w:r>
      <w:r>
        <w:t xml:space="preserve">and may produce high false‑positive rates.</w:t>
      </w:r>
      <w:r>
        <w:t xml:space="preserve"> </w:t>
      </w:r>
      <w:r>
        <w:rPr>
          <w:b/>
          <w:bCs/>
        </w:rPr>
        <w:t xml:space="preserve">cellsnp‑lite</w:t>
      </w:r>
      <w:r>
        <w:t xml:space="preserve"> </w:t>
      </w:r>
      <w:r>
        <w:t xml:space="preserve">was designed</w:t>
      </w:r>
      <w:r>
        <w:t xml:space="preserve"> </w:t>
      </w:r>
      <w:r>
        <w:t xml:space="preserve">specifically for efficient genotyping of biallelic SNPs from scRNA‑seq or</w:t>
      </w:r>
      <w:r>
        <w:t xml:space="preserve"> </w:t>
      </w:r>
      <w:r>
        <w:t xml:space="preserve">scDNA‑seq, providing fast pileup and genotyping of either detected or</w:t>
      </w:r>
      <w:r>
        <w:t xml:space="preserve"> </w:t>
      </w:r>
      <w:r>
        <w:t xml:space="preserve">user‑supplied common SNPs and outputting sparse SNP‑by‑cell count and</w:t>
      </w:r>
      <w:r>
        <w:t xml:space="preserve"> </w:t>
      </w:r>
      <w:r>
        <w:t xml:space="preserve">genotype matrices. Alternative tools such as scSplit, demuxlet and vireo</w:t>
      </w:r>
      <w:r>
        <w:t xml:space="preserve"> </w:t>
      </w:r>
      <w:r>
        <w:t xml:space="preserve">focus on donor demultiplexing and genotype assignment rather than</w:t>
      </w:r>
      <w:r>
        <w:t xml:space="preserve"> </w:t>
      </w:r>
      <w:r>
        <w:t xml:space="preserve">phylogenetically informative SNV discovery. Building on cellsnp‑lite,</w:t>
      </w:r>
      <w:r>
        <w:t xml:space="preserve"> </w:t>
      </w:r>
      <w:r>
        <w:t xml:space="preserve">scPhylogenomics adds optional filtering against common SNP panels,</w:t>
      </w:r>
      <w:r>
        <w:t xml:space="preserve"> </w:t>
      </w:r>
      <w:r>
        <w:t xml:space="preserve">RNA‑editing catalogs and Panels of Normals, and generates SNP‑based MSAs</w:t>
      </w:r>
      <w:r>
        <w:t xml:space="preserve"> </w:t>
      </w:r>
      <w:r>
        <w:t xml:space="preserve">plus binary/tertiary mutation matrices required for downstream phylogenetic</w:t>
      </w:r>
      <w:r>
        <w:t xml:space="preserve"> </w:t>
      </w:r>
      <w:r>
        <w:t xml:space="preserve">and clustering analyses.</w:t>
      </w:r>
    </w:p>
    <w:p>
      <w:pPr>
        <w:pStyle w:val="BodyText"/>
      </w:pPr>
      <w:r>
        <w:t xml:space="preserve">In tumor phylogenetics, methods such as SCITE, SCARLET, SCClone and SECEDO</w:t>
      </w:r>
      <w:r>
        <w:t xml:space="preserve"> </w:t>
      </w:r>
      <w:r>
        <w:t xml:space="preserve">were developed primarily for scDNA‑seq or bulk data and model clonal</w:t>
      </w:r>
      <w:r>
        <w:t xml:space="preserve"> </w:t>
      </w:r>
      <w:r>
        <w:t xml:space="preserve">evolution using binary genotype matrices under infinite‑sites or</w:t>
      </w:r>
      <w:r>
        <w:t xml:space="preserve"> </w:t>
      </w:r>
      <w:r>
        <w:t xml:space="preserve">finite‑sites assumptions. They offer sophisticated probabilistic treatment</w:t>
      </w:r>
      <w:r>
        <w:t xml:space="preserve"> </w:t>
      </w:r>
      <w:r>
        <w:t xml:space="preserve">of sequencing errors and copy‑number events, but generally assume</w:t>
      </w:r>
      <w:r>
        <w:t xml:space="preserve"> </w:t>
      </w:r>
      <w:r>
        <w:t xml:space="preserve">precomputed SNV calls and do not integrate scRNA‑seq–specific preprocessing</w:t>
      </w:r>
      <w:r>
        <w:t xml:space="preserve"> </w:t>
      </w:r>
      <w:r>
        <w:t xml:space="preserve">or the construction of nucleotide MSAs. Moreover, they often treat SNVs as</w:t>
      </w:r>
      <w:r>
        <w:t xml:space="preserve"> </w:t>
      </w:r>
      <w:r>
        <w:t xml:space="preserve">abstract binary characters rather than sequences, limiting direct use of</w:t>
      </w:r>
      <w:r>
        <w:t xml:space="preserve"> </w:t>
      </w:r>
      <w:r>
        <w:t xml:space="preserve">general phylogenetic software such as FastTree, IQ‑TREE or RAxML.</w:t>
      </w:r>
      <w:r>
        <w:t xml:space="preserve"> </w:t>
      </w:r>
      <w:r>
        <w:t xml:space="preserve">scPhylogenomics explicitly generates SNP‑based MSAs, enabling users to apply</w:t>
      </w:r>
      <w:r>
        <w:t xml:space="preserve"> </w:t>
      </w:r>
      <w:r>
        <w:t xml:space="preserve">standard molecular phylogenetic models to scRNA‑seq–derived SNVs while also</w:t>
      </w:r>
      <w:r>
        <w:t xml:space="preserve"> </w:t>
      </w:r>
      <w:r>
        <w:t xml:space="preserve">providing clonal clustering on mutation profiles.</w:t>
      </w:r>
    </w:p>
    <w:p>
      <w:pPr>
        <w:pStyle w:val="BodyText"/>
      </w:pPr>
      <w:r>
        <w:t xml:space="preserve">Several end‑to‑end scRNA‑seq pipelines (e.g., nf‑core/scrnaseq, scdrake and</w:t>
      </w:r>
      <w:r>
        <w:t xml:space="preserve"> </w:t>
      </w:r>
      <w:r>
        <w:t xml:space="preserve">other standardized workflows) emphasize expression‑based analyses — QC,</w:t>
      </w:r>
      <w:r>
        <w:t xml:space="preserve"> </w:t>
      </w:r>
      <w:r>
        <w:t xml:space="preserve">normalization, clustering and differential expression — but do not implement</w:t>
      </w:r>
      <w:r>
        <w:t xml:space="preserve"> </w:t>
      </w:r>
      <w:r>
        <w:t xml:space="preserve">SNV calling or phylogeny reconstruction from scRNA‑seq. Conversely, existing</w:t>
      </w:r>
      <w:r>
        <w:t xml:space="preserve"> </w:t>
      </w:r>
      <w:r>
        <w:t xml:space="preserve">tumor phylogenomics workflows have focused on DNA‑based input and typically</w:t>
      </w:r>
      <w:r>
        <w:t xml:space="preserve"> </w:t>
      </w:r>
      <w:r>
        <w:t xml:space="preserve">lack modules for scRNA‑seq–specific QC, cell‑type annotation and ploidy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The main advantages of scPhylogenomics relative to these alternatives are</w:t>
      </w:r>
      <w:r>
        <w:t xml:space="preserve"> </w:t>
      </w:r>
      <w:r>
        <w:t xml:space="preserve">(i) its explicit focus on SNV‑based phylogenomics from scRNA‑seq, (ii) the</w:t>
      </w:r>
      <w:r>
        <w:t xml:space="preserve"> </w:t>
      </w:r>
      <w:r>
        <w:t xml:space="preserve">integration of ploidy‑based tumor/normal stratification to restrict SNV</w:t>
      </w:r>
      <w:r>
        <w:t xml:space="preserve"> </w:t>
      </w:r>
      <w:r>
        <w:t xml:space="preserve">calling to malignant cells, (iii) the generation of both SNP MSAs and</w:t>
      </w:r>
      <w:r>
        <w:t xml:space="preserve"> </w:t>
      </w:r>
      <w:r>
        <w:t xml:space="preserve">mutation profile matrices, and (iv) containerized implementation</w:t>
      </w:r>
      <w:r>
        <w:t xml:space="preserve"> </w:t>
      </w:r>
      <w:r>
        <w:t xml:space="preserve">(Docker/Singularity) that facilitates reproducible deployment on</w:t>
      </w:r>
      <w:r>
        <w:t xml:space="preserve"> </w:t>
      </w:r>
      <w:r>
        <w:t xml:space="preserve">workstations and HPC clusters. Its main limitations, discussed in detail</w:t>
      </w:r>
      <w:r>
        <w:t xml:space="preserve"> </w:t>
      </w:r>
      <w:r>
        <w:t xml:space="preserve">elsewhere in the manuscript, include reliance on expressed loci, dependence</w:t>
      </w:r>
      <w:r>
        <w:t xml:space="preserve"> </w:t>
      </w:r>
      <w:r>
        <w:t xml:space="preserve">on aneuploidy‑based tumor classification, and computational cost for very</w:t>
      </w:r>
      <w:r>
        <w:t xml:space="preserve"> </w:t>
      </w:r>
      <w:r>
        <w:t xml:space="preserve">large datasets.</w:t>
      </w:r>
    </w:p>
    <w:bookmarkEnd w:id="16"/>
    <w:bookmarkEnd w:id="17"/>
    <w:bookmarkStart w:id="21" w:name="experimental-design"/>
    <w:p>
      <w:pPr>
        <w:pStyle w:val="Heading2"/>
      </w:pPr>
      <w:r>
        <w:t xml:space="preserve">Experimental design</w:t>
      </w:r>
    </w:p>
    <w:bookmarkStart w:id="18" w:name="considerations-before-starting"/>
    <w:p>
      <w:pPr>
        <w:pStyle w:val="Heading3"/>
      </w:pPr>
      <w:r>
        <w:t xml:space="preserve">Considerations before starting</w:t>
      </w:r>
    </w:p>
    <w:p>
      <w:pPr>
        <w:pStyle w:val="FirstParagraph"/>
      </w:pPr>
      <w:r>
        <w:t xml:space="preserve">Several aspects of experimental design should be considered before</w:t>
      </w:r>
      <w:r>
        <w:t xml:space="preserve"> </w:t>
      </w:r>
      <w:r>
        <w:t xml:space="preserve">implementing scPhylogenomics: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type and sequencing platform.</w:t>
      </w:r>
      <w:r>
        <w:t xml:space="preserve"> </w:t>
      </w:r>
      <w:r>
        <w:t xml:space="preserve">The protocol is optimized for 10x</w:t>
      </w:r>
      <w:r>
        <w:t xml:space="preserve"> </w:t>
      </w:r>
      <w:r>
        <w:t xml:space="preserve">Chromium 3′/5′ scRNA‑seq data processed by Cell Ranger, where gene</w:t>
      </w:r>
      <w:r>
        <w:t xml:space="preserve"> </w:t>
      </w:r>
      <w:r>
        <w:t xml:space="preserve">expression matrices and BAM files with cell barcodes and UMIs are readily</w:t>
      </w:r>
      <w:r>
        <w:t xml:space="preserve"> </w:t>
      </w:r>
      <w:r>
        <w:t xml:space="preserve">available. Application to other platforms (e.g., Drop‑seq, inDrop,</w:t>
      </w:r>
      <w:r>
        <w:t xml:space="preserve"> </w:t>
      </w:r>
      <w:r>
        <w:t xml:space="preserve">Smart‑seq) is feasible in principle but may require adaptation of input</w:t>
      </w:r>
      <w:r>
        <w:t xml:space="preserve"> </w:t>
      </w:r>
      <w:r>
        <w:t xml:space="preserve">formats and adjustment of SNV filtering thresholds.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Tumor type and aneuploidy burden.</w:t>
      </w:r>
      <w:r>
        <w:t xml:space="preserve"> </w:t>
      </w:r>
      <w:r>
        <w:t xml:space="preserve">Because ploidy inference with</w:t>
      </w:r>
      <w:r>
        <w:t xml:space="preserve"> </w:t>
      </w:r>
      <w:r>
        <w:t xml:space="preserve">copykat is only one (optional) route for tumor/normal stratification in</w:t>
      </w:r>
      <w:r>
        <w:t xml:space="preserve"> </w:t>
      </w:r>
      <w:r>
        <w:t xml:space="preserve">scPhylogenomics, the workflow is especially effective when malignant</w:t>
      </w:r>
      <w:r>
        <w:t xml:space="preserve"> </w:t>
      </w:r>
      <w:r>
        <w:t xml:space="preserve">cells exhibit clear genome‑wide aneuploidy, such as in many HGSOC, TNBC,</w:t>
      </w:r>
      <w:r>
        <w:t xml:space="preserve"> </w:t>
      </w:r>
      <w:r>
        <w:t xml:space="preserve">and other chromosomally unstable solid tumors. SNV calling is not</w:t>
      </w:r>
      <w:r>
        <w:t xml:space="preserve"> </w:t>
      </w:r>
      <w:r>
        <w:t xml:space="preserve">restricted to copykat‑defined tumor cells; it can be performed based on</w:t>
      </w:r>
      <w:r>
        <w:t xml:space="preserve"> </w:t>
      </w:r>
      <w:r>
        <w:t xml:space="preserve">user‑specified cell types deemed malignant from external information</w:t>
      </w:r>
      <w:r>
        <w:t xml:space="preserve"> </w:t>
      </w:r>
      <w:r>
        <w:t xml:space="preserve">(e.g., marker expression or prior annotations), which is particularly</w:t>
      </w:r>
      <w:r>
        <w:t xml:space="preserve"> </w:t>
      </w:r>
      <w:r>
        <w:t xml:space="preserve">useful in near‑diploid cancers (e.g., many pediatric or hematologic</w:t>
      </w:r>
      <w:r>
        <w:t xml:space="preserve"> </w:t>
      </w:r>
      <w:r>
        <w:t xml:space="preserve">malignancies) where copy‑number–based classification has limited power.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 design and replication.</w:t>
      </w:r>
      <w:r>
        <w:t xml:space="preserve"> </w:t>
      </w:r>
      <w:r>
        <w:t xml:space="preserve">scPhylogenomics can be applied to</w:t>
      </w:r>
      <w:r>
        <w:t xml:space="preserve"> </w:t>
      </w:r>
      <w:r>
        <w:t xml:space="preserve">single or multiple tumor samples per patient and across multiple patients.</w:t>
      </w:r>
      <w:r>
        <w:t xml:space="preserve"> </w:t>
      </w:r>
      <w:r>
        <w:t xml:space="preserve">For evolutionary questions (e.g., metastatic seeding), multi‑regional or</w:t>
      </w:r>
      <w:r>
        <w:t xml:space="preserve"> </w:t>
      </w:r>
      <w:r>
        <w:t xml:space="preserve">longitudinal sampling greatly increases interpretability. Biological</w:t>
      </w:r>
      <w:r>
        <w:t xml:space="preserve"> </w:t>
      </w:r>
      <w:r>
        <w:t xml:space="preserve">replication at the patient level remains essential for generalizing</w:t>
      </w:r>
      <w:r>
        <w:t xml:space="preserve"> </w:t>
      </w:r>
      <w:r>
        <w:t xml:space="preserve">conclusions. Within each sample, sufficient cell numbers per tumor</w:t>
      </w:r>
      <w:r>
        <w:t xml:space="preserve"> </w:t>
      </w:r>
      <w:r>
        <w:t xml:space="preserve">compartment (typically several thousand) are needed to capture clonal</w:t>
      </w:r>
      <w:r>
        <w:t xml:space="preserve"> </w:t>
      </w:r>
      <w:r>
        <w:t xml:space="preserve">diversity.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Controls and orthogonal data.</w:t>
      </w:r>
      <w:r>
        <w:t xml:space="preserve"> </w:t>
      </w:r>
      <w:r>
        <w:t xml:space="preserve">Where possible, users should complement</w:t>
      </w:r>
      <w:r>
        <w:t xml:space="preserve"> </w:t>
      </w:r>
      <w:r>
        <w:t xml:space="preserve">scRNA‑seq with bulk exome or targeted DNA sequencing to confirm key</w:t>
      </w:r>
      <w:r>
        <w:t xml:space="preserve"> </w:t>
      </w:r>
      <w:r>
        <w:t xml:space="preserve">driver mutations and to assess coverage biases in scRNA‑derived SNVs.</w:t>
      </w:r>
      <w:r>
        <w:t xml:space="preserve"> </w:t>
      </w:r>
      <w:r>
        <w:t xml:space="preserve">Normal tissues or peripheral blood mononuclear cells can serve as a</w:t>
      </w:r>
      <w:r>
        <w:t xml:space="preserve"> </w:t>
      </w:r>
      <w:r>
        <w:t xml:space="preserve">reference for Panel‑of‑Normals construction and for benchmarking copykat</w:t>
      </w:r>
      <w:r>
        <w:t xml:space="preserve"> </w:t>
      </w:r>
      <w:r>
        <w:t xml:space="preserve">classifications.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Pre‑optimization of QC and SNV thresholds.</w:t>
      </w:r>
      <w:r>
        <w:t xml:space="preserve"> </w:t>
      </w:r>
      <w:r>
        <w:t xml:space="preserve">Ambient RNA, doublet, and</w:t>
      </w:r>
      <w:r>
        <w:t xml:space="preserve"> </w:t>
      </w:r>
      <w:r>
        <w:t xml:space="preserve">mitochondrial filters should be tuned on pilot datasets or subsets of the</w:t>
      </w:r>
      <w:r>
        <w:t xml:space="preserve"> </w:t>
      </w:r>
      <w:r>
        <w:t xml:space="preserve">data, using diagnostic plots to avoid over‑filtering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</w:t>
      </w:r>
      <w:r>
        <w:t xml:space="preserve"> </w:t>
      </w:r>
      <w:r>
        <w:t xml:space="preserve">Modules 1–2). Similarly, SNV filtering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min_cells_per_snp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min_snps_per_cell</w:t>
      </w:r>
      <w:r>
        <w:t xml:space="preserve">, allele frequency thresholds)</w:t>
      </w:r>
      <w:r>
        <w:t xml:space="preserve"> </w:t>
      </w:r>
      <w:r>
        <w:t xml:space="preserve">may require adjustment based on sequencing depth and chemistry (see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Module 4).</w:t>
      </w:r>
    </w:p>
    <w:bookmarkEnd w:id="18"/>
    <w:bookmarkStart w:id="19" w:name="X437ca65d6f1c0a171a87617fc29cb996557c400"/>
    <w:p>
      <w:pPr>
        <w:pStyle w:val="Heading3"/>
      </w:pPr>
      <w:r>
        <w:t xml:space="preserve">Equipment, expertise, and computational resources</w:t>
      </w:r>
    </w:p>
    <w:p>
      <w:pPr>
        <w:pStyle w:val="FirstParagraph"/>
      </w:pPr>
      <w:r>
        <w:t xml:space="preserve">The protocol requires:</w:t>
      </w:r>
    </w:p>
    <w:p>
      <w:pPr>
        <w:pStyle w:val="Compact"/>
        <w:numPr>
          <w:ilvl w:val="0"/>
          <w:numId w:val="1005"/>
        </w:numPr>
      </w:pPr>
      <w:r>
        <w:t xml:space="preserve">Access to a Linux workstation or HPC cluster with sufficient CPU cores</w:t>
      </w:r>
      <w:r>
        <w:t xml:space="preserve"> </w:t>
      </w:r>
      <w:r>
        <w:t xml:space="preserve">(≥16 recommended), memory (≥64 GB, ideally 128 GB for large projects),</w:t>
      </w:r>
      <w:r>
        <w:t xml:space="preserve"> </w:t>
      </w:r>
      <w:r>
        <w:t xml:space="preserve">and storage (≥100 GB per project).</w:t>
      </w:r>
    </w:p>
    <w:p>
      <w:pPr>
        <w:pStyle w:val="Compact"/>
        <w:numPr>
          <w:ilvl w:val="0"/>
          <w:numId w:val="1005"/>
        </w:numPr>
      </w:pPr>
      <w:r>
        <w:t xml:space="preserve">Basic familiarity with the Linux command line, container‑based execution</w:t>
      </w:r>
      <w:r>
        <w:t xml:space="preserve"> </w:t>
      </w:r>
      <w:r>
        <w:t xml:space="preserve">(Docker or Singularity), and R and Python scripting environments (to run</w:t>
      </w:r>
      <w:r>
        <w:t xml:space="preserve"> </w:t>
      </w:r>
      <w:r>
        <w:t xml:space="preserve">the module scripts described in the</w:t>
      </w:r>
      <w:r>
        <w:t xml:space="preserve"> </w:t>
      </w:r>
      <w:r>
        <w:rPr>
          <w:i/>
          <w:iCs/>
        </w:rPr>
        <w:t xml:space="preserve">Procedure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Experience with scRNA‑seq analysis (e.g., using Seurat) to interpret QC</w:t>
      </w:r>
      <w:r>
        <w:t xml:space="preserve"> </w:t>
      </w:r>
      <w:r>
        <w:t xml:space="preserve">plots, cell‑type annotations, and integration results.</w:t>
      </w:r>
    </w:p>
    <w:p>
      <w:pPr>
        <w:pStyle w:val="Compact"/>
        <w:numPr>
          <w:ilvl w:val="0"/>
          <w:numId w:val="1005"/>
        </w:numPr>
      </w:pPr>
      <w:r>
        <w:t xml:space="preserve">Familiarity with phylogenetic concepts (tree topology, branch lengths,</w:t>
      </w:r>
      <w:r>
        <w:t xml:space="preserve"> </w:t>
      </w:r>
      <w:r>
        <w:t xml:space="preserve">model selection, bootstrap support) to interpret clonal trees and</w:t>
      </w:r>
      <w:r>
        <w:t xml:space="preserve"> </w:t>
      </w:r>
      <w:r>
        <w:t xml:space="preserve">evaluate clustering solutions.</w:t>
      </w:r>
    </w:p>
    <w:bookmarkEnd w:id="19"/>
    <w:bookmarkStart w:id="20" w:name="regulatory-approvals"/>
    <w:p>
      <w:pPr>
        <w:pStyle w:val="Heading3"/>
      </w:pPr>
      <w:r>
        <w:t xml:space="preserve">Regulatory approvals</w:t>
      </w:r>
    </w:p>
    <w:p>
      <w:pPr>
        <w:pStyle w:val="FirstParagraph"/>
      </w:pPr>
      <w:r>
        <w:t xml:space="preserve">scPhylogenomics is a computational workflow that operates on existing</w:t>
      </w:r>
      <w:r>
        <w:t xml:space="preserve"> </w:t>
      </w:r>
      <w:r>
        <w:t xml:space="preserve">sequencing data and does not involve direct manipulation of human subjects</w:t>
      </w:r>
      <w:r>
        <w:t xml:space="preserve"> </w:t>
      </w:r>
      <w:r>
        <w:t xml:space="preserve">or biological specimens. Regulatory approvals (e.g., institutional review</w:t>
      </w:r>
      <w:r>
        <w:t xml:space="preserve"> </w:t>
      </w:r>
      <w:r>
        <w:t xml:space="preserve">board approval, informed consent, data access agreements) are assumed to</w:t>
      </w:r>
      <w:r>
        <w:t xml:space="preserve"> </w:t>
      </w:r>
      <w:r>
        <w:t xml:space="preserve">have been obtained for the generation and use of the underlying scRNA‑seq</w:t>
      </w:r>
      <w:r>
        <w:t xml:space="preserve"> </w:t>
      </w:r>
      <w:r>
        <w:t xml:space="preserve">datasets and are not addressed by this protocol. Users should ensure that</w:t>
      </w:r>
      <w:r>
        <w:t xml:space="preserve"> </w:t>
      </w:r>
      <w:r>
        <w:t xml:space="preserve">appropriate permissions (e.g., data use agreements for controlled‑access</w:t>
      </w:r>
      <w:r>
        <w:t xml:space="preserve"> </w:t>
      </w:r>
      <w:r>
        <w:t xml:space="preserve">datasets, Material Transfer Agreements for cell lines) have been secured</w:t>
      </w:r>
      <w:r>
        <w:t xml:space="preserve"> </w:t>
      </w:r>
      <w:r>
        <w:t xml:space="preserve">before downloading or analyzing patient‑derived data.</w:t>
      </w:r>
    </w:p>
    <w:bookmarkEnd w:id="20"/>
    <w:bookmarkEnd w:id="21"/>
    <w:bookmarkStart w:id="25" w:name="materials"/>
    <w:p>
      <w:pPr>
        <w:pStyle w:val="Heading2"/>
      </w:pPr>
      <w:r>
        <w:t xml:space="preserve">Materials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placeholder. To be expanded in subsequent sessions</w:t>
      </w:r>
      <w:r>
        <w:t xml:space="preserve"> </w:t>
      </w:r>
      <w:r>
        <w:t xml:space="preserve">using the per‑module README files in the</w:t>
      </w:r>
      <w:r>
        <w:t xml:space="preserve"> </w:t>
      </w:r>
      <w:r>
        <w:rPr>
          <w:rStyle w:val="VerbatimChar"/>
        </w:rPr>
        <w:t xml:space="preserve">scPhylogenomics</w:t>
      </w:r>
      <w:r>
        <w:t xml:space="preserve"> </w:t>
      </w:r>
      <w:r>
        <w:t xml:space="preserve">GitHub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analyses/&lt;module&gt;/README.md</w:t>
      </w:r>
      <w:r>
        <w:t xml:space="preserve">).</w:t>
      </w:r>
    </w:p>
    <w:p>
      <w:pPr>
        <w:pStyle w:val="FirstParagraph"/>
      </w:pPr>
      <w:r>
        <w:t xml:space="preserve">Nature Protocols expects the</w:t>
      </w:r>
      <w:r>
        <w:t xml:space="preserve"> </w:t>
      </w:r>
      <w:r>
        <w:rPr>
          <w:i/>
          <w:iCs/>
        </w:rPr>
        <w:t xml:space="preserve">Materials</w:t>
      </w:r>
      <w:r>
        <w:t xml:space="preserve"> </w:t>
      </w:r>
      <w:r>
        <w:t xml:space="preserve">section to enumerate every</w:t>
      </w:r>
      <w:r>
        <w:t xml:space="preserve"> </w:t>
      </w:r>
      <w:r>
        <w:t xml:space="preserve">biological reagent, software dependency, hardware requirement and reference</w:t>
      </w:r>
      <w:r>
        <w:t xml:space="preserve"> </w:t>
      </w:r>
      <w:r>
        <w:t xml:space="preserve">dataset that is required to execute the protocol. For this purely</w:t>
      </w:r>
      <w:r>
        <w:t xml:space="preserve"> </w:t>
      </w:r>
      <w:r>
        <w:t xml:space="preserve">computational workflow,</w:t>
      </w:r>
      <w:r>
        <w:t xml:space="preserve"> </w:t>
      </w:r>
      <w:r>
        <w:rPr>
          <w:i/>
          <w:iCs/>
        </w:rPr>
        <w:t xml:space="preserve">Materials</w:t>
      </w:r>
      <w:r>
        <w:t xml:space="preserve"> </w:t>
      </w:r>
      <w:r>
        <w:t xml:space="preserve">will be presented as four subsections:</w:t>
      </w:r>
      <w:r>
        <w:t xml:space="preserve"> </w:t>
      </w:r>
      <w:r>
        <w:rPr>
          <w:b/>
          <w:bCs/>
        </w:rPr>
        <w:t xml:space="preserve">REAGENTS</w:t>
      </w:r>
      <w:r>
        <w:t xml:space="preserve"> </w:t>
      </w:r>
      <w:r>
        <w:t xml:space="preserve">(data),</w:t>
      </w:r>
      <w:r>
        <w:t xml:space="preserve"> </w:t>
      </w:r>
      <w:r>
        <w:rPr>
          <w:b/>
          <w:bCs/>
        </w:rPr>
        <w:t xml:space="preserve">EQUIPMENT</w:t>
      </w:r>
      <w:r>
        <w:t xml:space="preserve"> </w:t>
      </w:r>
      <w:r>
        <w:t xml:space="preserve">(hardware/software),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, and</w:t>
      </w:r>
      <w:r>
        <w:t xml:space="preserve"> </w:t>
      </w:r>
      <w:r>
        <w:rPr>
          <w:b/>
          <w:bCs/>
        </w:rPr>
        <w:t xml:space="preserve">REAGENT/EQUIPMENT SETUP</w:t>
      </w:r>
      <w:r>
        <w:t xml:space="preserve">. Pricing/vendor lines are</w:t>
      </w:r>
      <w:r>
        <w:t xml:space="preserve"> </w:t>
      </w:r>
      <w:r>
        <w:t xml:space="preserve">omitted because no wet‑lab consumables are used; instead, version pins and</w:t>
      </w:r>
      <w:r>
        <w:t xml:space="preserve"> </w:t>
      </w:r>
      <w:r>
        <w:t xml:space="preserve">DOIs are listed.</w:t>
      </w:r>
    </w:p>
    <w:bookmarkStart w:id="22" w:name="reagents-data"/>
    <w:p>
      <w:pPr>
        <w:pStyle w:val="Heading3"/>
      </w:pPr>
      <w:r>
        <w:t xml:space="preserve">REAGENTS (data)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populate from</w:t>
      </w:r>
      <w:r>
        <w:t xml:space="preserve"> </w:t>
      </w:r>
      <w:r>
        <w:rPr>
          <w:rStyle w:val="VerbatimChar"/>
        </w:rPr>
        <w:t xml:space="preserve">scPhylogenomics/README.md</w:t>
      </w:r>
      <w:r>
        <w:t xml:space="preserve"> </w:t>
      </w:r>
      <w:r>
        <w:t xml:space="preserve">(top‑level</w:t>
      </w:r>
      <w:r>
        <w:t xml:space="preserve"> </w:t>
      </w:r>
      <w:r>
        <w:t xml:space="preserve">“Data description”</w:t>
      </w:r>
      <w:r>
        <w:t xml:space="preserve"> </w:t>
      </w:r>
      <w:r>
        <w:t xml:space="preserve">section) and from each module README.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Triple‑negative breast cancer (TNBC) dataset</w:t>
      </w:r>
      <w:r>
        <w:t xml:space="preserve"> </w:t>
      </w:r>
      <w:r>
        <w:t xml:space="preserve">— TNBC5 sample from</w:t>
      </w:r>
      <w:r>
        <w:t xml:space="preserve"> </w:t>
      </w:r>
      <w:r>
        <w:t xml:space="preserve">GSE148673 (CopyKAT methodology development study).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MSK SPECTRUM HGSOC dataset</w:t>
      </w:r>
      <w:r>
        <w:t xml:space="preserve"> </w:t>
      </w:r>
      <w:r>
        <w:t xml:space="preserve">— six tumor samples from multiple sites</w:t>
      </w:r>
      <w:r>
        <w:t xml:space="preserve"> </w:t>
      </w:r>
      <w:r>
        <w:t xml:space="preserve">of patient SPECTRUM‑OV‑003 (</w:t>
      </w:r>
      <w:r>
        <w:rPr>
          <w:rStyle w:val="VerbatimChar"/>
        </w:rPr>
        <w:t xml:space="preserve">@url:https://www.synapse.org/Synapse:syn25569736/wiki/612269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Acute myeloid leukemia (AML) dataset</w:t>
      </w:r>
      <w:r>
        <w:t xml:space="preserve"> </w:t>
      </w:r>
      <w:r>
        <w:t xml:space="preserve">— sample LE1.</w:t>
      </w:r>
      <w:r>
        <w:t xml:space="preserve"> </w:t>
      </w:r>
      <w:r>
        <w:rPr>
          <w:i/>
          <w:iCs/>
        </w:rPr>
        <w:t xml:space="preserve">(Brief dataset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 to be added — see open question SQ‑01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sessions/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10x Genomics Chromium reference transcriptome</w:t>
      </w:r>
      <w:r>
        <w:t xml:space="preserve"> </w:t>
      </w:r>
      <w:r>
        <w:t xml:space="preserve">— downloaded from</w:t>
      </w:r>
      <w:r>
        <w:t xml:space="preserve"> </w:t>
      </w:r>
      <w:r>
        <w:rPr>
          <w:rStyle w:val="VerbatimChar"/>
        </w:rPr>
        <w:t xml:space="preserve">@url:https://www.10xgenomics.com/support/software/cell-ranger/downloads#reference-downloads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dbSNP/1000 Genomes common variants</w:t>
      </w:r>
      <w:r>
        <w:t xml:space="preserve"> </w:t>
      </w:r>
      <w:r>
        <w:t xml:space="preserve">(used by cellsnp‑lite Mode 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REDIportal RNA‑editing catalog</w:t>
      </w:r>
      <w:r>
        <w:t xml:space="preserve"> </w:t>
      </w:r>
      <w:r>
        <w:t xml:space="preserve">(used as optional SNV filter).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Panel of Normals (PoN)</w:t>
      </w:r>
      <w:r>
        <w:t xml:space="preserve"> </w:t>
      </w:r>
      <w:r>
        <w:t xml:space="preserve">— constructed from matched or atlas normal</w:t>
      </w:r>
      <w:r>
        <w:t xml:space="preserve"> </w:t>
      </w:r>
      <w:r>
        <w:t xml:space="preserve">samples (procedure to be documented in the Materials/Procedure cross‑ref).</w:t>
      </w:r>
    </w:p>
    <w:bookmarkEnd w:id="22"/>
    <w:bookmarkStart w:id="23" w:name="equipment-hardware-and-software"/>
    <w:p>
      <w:pPr>
        <w:pStyle w:val="Heading3"/>
      </w:pPr>
      <w:r>
        <w:t xml:space="preserve">EQUIPMENT (hardware and software)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pin exact versions used in the case study. Versions should</w:t>
      </w:r>
      <w:r>
        <w:t xml:space="preserve"> </w:t>
      </w:r>
      <w:r>
        <w:t xml:space="preserve">match those in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at the root of the scPhylogenomics</w:t>
      </w:r>
      <w:r>
        <w:t xml:space="preserve"> </w:t>
      </w:r>
      <w:r>
        <w:t xml:space="preserve">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Linux workstation or HPC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≥16 CPU cores; 64–128 GB RAM; ≥100 GB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≥24.0</w:t>
            </w:r>
          </w:p>
        </w:tc>
        <w:tc>
          <w:tcPr/>
          <w:p>
            <w:pPr>
              <w:pStyle w:val="Compact"/>
            </w:pPr>
            <w:r>
              <w:t xml:space="preserve">Build &amp; run scPhylogenomics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Singularity / Apptainer</w:t>
            </w:r>
          </w:p>
        </w:tc>
        <w:tc>
          <w:tcPr/>
          <w:p>
            <w:pPr>
              <w:pStyle w:val="Compact"/>
            </w:pPr>
            <w:r>
              <w:t xml:space="preserve">≥1.2</w:t>
            </w:r>
          </w:p>
        </w:tc>
        <w:tc>
          <w:tcPr/>
          <w:p>
            <w:pPr>
              <w:pStyle w:val="Compact"/>
            </w:pPr>
            <w:r>
              <w:t xml:space="preserve">HPC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Aligner</w:t>
            </w:r>
          </w:p>
        </w:tc>
        <w:tc>
          <w:tcPr/>
          <w:p>
            <w:pPr>
              <w:pStyle w:val="Compact"/>
            </w:pPr>
            <w:r>
              <w:t xml:space="preserve">Cell Ranger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scRNA‑seq alignment, demultiplexing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framework</w:t>
            </w:r>
          </w:p>
        </w:tc>
        <w:tc>
          <w:tcPr/>
          <w:p>
            <w:pPr>
              <w:pStyle w:val="Compact"/>
            </w:pPr>
            <w:r>
              <w:t xml:space="preserve">Seurat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scRNA‑seq object handling,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SoupX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Ambient RNA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DoubletFinder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Doublet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miQC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Mitochondrial/QC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SingleR + celldex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Reference‑assisted cell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copykat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Ploidy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C/Python</w:t>
            </w:r>
          </w:p>
        </w:tc>
        <w:tc>
          <w:tcPr/>
          <w:p>
            <w:pPr>
              <w:pStyle w:val="Compact"/>
            </w:pPr>
            <w:r>
              <w:t xml:space="preserve">cellsnp‑lite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Single‑cell SNV 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SNPmanifold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VAE‑based clonal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NumPy / SciPy / scikit‑learn / nimfa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WNMF clonal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Phylogenetics</w:t>
            </w:r>
          </w:p>
        </w:tc>
        <w:tc>
          <w:tcPr/>
          <w:p>
            <w:pPr>
              <w:pStyle w:val="Compact"/>
            </w:pPr>
            <w:r>
              <w:t xml:space="preserve">FastTree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Maximum‑likelihood trees (fast)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Phylogenetics</w:t>
            </w:r>
          </w:p>
        </w:tc>
        <w:tc>
          <w:tcPr/>
          <w:p>
            <w:pPr>
              <w:pStyle w:val="Compact"/>
            </w:pPr>
            <w:r>
              <w:t xml:space="preserve">IQ‑TREE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Maximum‑likelihood trees (model selection, bootstraps)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ggplot2 / ggtree / ape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Tree and clone annotation</w:t>
            </w:r>
          </w:p>
        </w:tc>
      </w:tr>
    </w:tbl>
    <w:bookmarkEnd w:id="23"/>
    <w:bookmarkStart w:id="24" w:name="reagentequipment-setup"/>
    <w:p>
      <w:pPr>
        <w:pStyle w:val="Heading3"/>
      </w:pPr>
      <w:r>
        <w:t xml:space="preserve">REAGENT/EQUIPMENT SETUP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convert each module README’s</w:t>
      </w:r>
      <w:r>
        <w:t xml:space="preserve"> </w:t>
      </w:r>
      <w:r>
        <w:t xml:space="preserve">“Setup”</w:t>
      </w:r>
      <w:r>
        <w:t xml:space="preserve"> </w:t>
      </w:r>
      <w:r>
        <w:t xml:space="preserve">/</w:t>
      </w:r>
      <w:r>
        <w:t xml:space="preserve"> </w:t>
      </w:r>
      <w:r>
        <w:t xml:space="preserve">“Installation”</w:t>
      </w:r>
      <w:r>
        <w:t xml:space="preserve"> </w:t>
      </w:r>
      <w:r>
        <w:t xml:space="preserve">instructions into Nature Protocols numbered Setup paragraphs.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Clone the workflow repository.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https://github.com/ewafula/scPhylogenomics.git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scPhylogenomics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Pull the prebuilt container</w:t>
      </w:r>
      <w:r>
        <w:t xml:space="preserve"> </w:t>
      </w:r>
      <w:r>
        <w:t xml:space="preserve">(recommended)</w:t>
      </w:r>
      <w:r>
        <w:t xml:space="preserve"> </w:t>
      </w:r>
      <w:r>
        <w:rPr>
          <w:b/>
          <w:bCs/>
        </w:rPr>
        <w:t xml:space="preserve">or build from source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Singularity (HPC)</w:t>
      </w:r>
      <w:r>
        <w:br/>
      </w:r>
      <w:r>
        <w:rPr>
          <w:rStyle w:val="ExtensionTok"/>
        </w:rPr>
        <w:t xml:space="preserve">singularity</w:t>
      </w:r>
      <w:r>
        <w:rPr>
          <w:rStyle w:val="NormalTok"/>
        </w:rPr>
        <w:t xml:space="preserve"> pull docker://ghcr.io/ewafula/scphylogenomics:latest</w:t>
      </w:r>
      <w:r>
        <w:br/>
      </w:r>
      <w:r>
        <w:br/>
      </w:r>
      <w:r>
        <w:rPr>
          <w:rStyle w:val="CommentTok"/>
        </w:rPr>
        <w:t xml:space="preserve"># Docker (workstation)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ghcr.io/ewafula/scphylogenomics:latest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 the project data 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data/projects/&lt;PROJECT&gt;/...</w:t>
      </w:r>
      <w:r>
        <w:t xml:space="preserve"> </w:t>
      </w:r>
      <w:r>
        <w:t xml:space="preserve">following the directory layout shown in the top‑level README.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Download reference resources</w:t>
      </w:r>
      <w:r>
        <w:t xml:space="preserve"> </w:t>
      </w:r>
      <w:r>
        <w:t xml:space="preserve">(Cell Ranger reference, common SNP VCF,</w:t>
      </w:r>
      <w:r>
        <w:t xml:space="preserve"> </w:t>
      </w:r>
      <w:r>
        <w:t xml:space="preserve">REDIportal, PoN) into</w:t>
      </w:r>
      <w:r>
        <w:t xml:space="preserve"> </w:t>
      </w:r>
      <w:r>
        <w:rPr>
          <w:rStyle w:val="VerbatimChar"/>
        </w:rPr>
        <w:t xml:space="preserve">data/refdata/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(Optional) Build a custom reference</w:t>
      </w:r>
      <w:r>
        <w:t xml:space="preserve"> </w:t>
      </w:r>
      <w:r>
        <w:t xml:space="preserve">for SingleR using</w:t>
      </w:r>
      <w:r>
        <w:t xml:space="preserve"> </w:t>
      </w:r>
      <w:r>
        <w:rPr>
          <w:rStyle w:val="VerbatimChar"/>
        </w:rPr>
        <w:t xml:space="preserve">scripts/create-reference-dataset.R</w:t>
      </w:r>
      <w:r>
        <w:t xml:space="preserve">.</w:t>
      </w:r>
    </w:p>
    <w:bookmarkEnd w:id="24"/>
    <w:bookmarkEnd w:id="25"/>
    <w:bookmarkStart w:id="31" w:name="procedure"/>
    <w:p>
      <w:pPr>
        <w:pStyle w:val="Heading2"/>
      </w:pPr>
      <w:r>
        <w:t xml:space="preserve">Procedure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scaffold. Each module sub‑section is a placeholder</w:t>
      </w:r>
      <w:r>
        <w:t xml:space="preserve"> </w:t>
      </w:r>
      <w:r>
        <w:t xml:space="preserve">wrapper. The numbered Nature Protocols steps will be ported in upcoming</w:t>
      </w:r>
      <w:r>
        <w:t xml:space="preserve"> </w:t>
      </w:r>
      <w:r>
        <w:t xml:space="preserve">sessions from</w:t>
      </w:r>
      <w:r>
        <w:t xml:space="preserve"> </w:t>
      </w:r>
      <w:r>
        <w:rPr>
          <w:rStyle w:val="VerbatimChar"/>
        </w:rPr>
        <w:t xml:space="preserve">scPhylogenomics/analyses/&lt;module&gt;/README.md</w:t>
      </w:r>
      <w:r>
        <w:t xml:space="preserve"> </w:t>
      </w:r>
      <w:r>
        <w:t xml:space="preserve">and the wrapper</w:t>
      </w:r>
      <w:r>
        <w:t xml:space="preserve"> </w:t>
      </w:r>
      <w:r>
        <w:rPr>
          <w:rStyle w:val="VerbatimChar"/>
        </w:rPr>
        <w:t xml:space="preserve">run-*.sh</w:t>
      </w:r>
      <w:r>
        <w:t xml:space="preserve"> </w:t>
      </w:r>
      <w:r>
        <w:t xml:space="preserve">scripts. Numbering is contiguous across modules per Nature</w:t>
      </w:r>
      <w:r>
        <w:t xml:space="preserve"> </w:t>
      </w:r>
      <w:r>
        <w:t xml:space="preserve">Protocols house style.</w:t>
      </w:r>
    </w:p>
    <w:bookmarkStart w:id="26" w:name="module-1-data-preprocessing-timing-26-h"/>
    <w:p>
      <w:pPr>
        <w:pStyle w:val="Heading3"/>
      </w:pPr>
      <w:r>
        <w:t xml:space="preserve">Module 1 — Data preprocessing ● Timing 2–6 h</w:t>
      </w:r>
    </w:p>
    <w:p>
      <w:pPr>
        <w:pStyle w:val="BlockText"/>
      </w:pPr>
      <w:r>
        <w:t xml:space="preserve">Source material:</w:t>
      </w:r>
      <w:r>
        <w:t xml:space="preserve"> </w:t>
      </w:r>
      <w:r>
        <w:rPr>
          <w:rStyle w:val="VerbatimChar"/>
        </w:rPr>
        <w:t xml:space="preserve">analyses/data-preprocessing/README.md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run-data-preprocessing.sh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Prepare Cell Ranger outputs.</w:t>
      </w:r>
      <w:r>
        <w:t xml:space="preserve"> </w:t>
      </w:r>
      <w:r>
        <w:rPr>
          <w:i/>
          <w:iCs/>
        </w:rPr>
        <w:t xml:space="preserve">(TODO: paraphrase from Module 1</w:t>
      </w:r>
      <w:r>
        <w:rPr>
          <w:i/>
          <w:iCs/>
        </w:rPr>
        <w:t xml:space="preserve"> </w:t>
      </w:r>
      <w:r>
        <w:rPr>
          <w:i/>
          <w:iCs/>
        </w:rPr>
        <w:t xml:space="preserve">README, including expected directory layout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data/projects/&lt;PROJECT&gt;/&lt;SAMPLE&gt;/outs/</w:t>
      </w:r>
      <w:r>
        <w:rPr>
          <w:i/>
          <w:iCs/>
        </w:rPr>
        <w:t xml:space="preserve">.)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Remove ambient RNA with SoupX.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01-remove-ambient-rna.R</w:t>
      </w:r>
      <w:r>
        <w:t xml:space="preserve">.</w:t>
      </w:r>
      <w:r>
        <w:t xml:space="preserve"> </w:t>
      </w:r>
      <w:r>
        <w:rPr>
          <w:i/>
          <w:iCs/>
        </w:rPr>
        <w:t xml:space="preserve">(TODO: list parameters, key flags, and expected diagnostic plots.)</w:t>
      </w:r>
    </w:p>
    <w:p>
      <w:pPr>
        <w:numPr>
          <w:ilvl w:val="0"/>
          <w:numId w:val="1000"/>
        </w:numPr>
      </w:pPr>
      <w:r>
        <w:t xml:space="preserve">▲</w:t>
      </w:r>
      <w:r>
        <w:t xml:space="preserve"> </w:t>
      </w:r>
      <w:r>
        <w:rPr>
          <w:b/>
          <w:bCs/>
        </w:rPr>
        <w:t xml:space="preserve">CRITICAL STEP</w:t>
      </w:r>
      <w:r>
        <w:t xml:space="preserve"> </w:t>
      </w:r>
      <w:r>
        <w:t xml:space="preserve">— Check the SoupX contamination fraction (</w:t>
      </w:r>
      <w:r>
        <w:rPr>
          <w:rStyle w:val="VerbatimChar"/>
        </w:rPr>
        <w:t xml:space="preserve">rho</w:t>
      </w:r>
      <w:r>
        <w:t xml:space="preserve">)</w:t>
      </w:r>
      <w:r>
        <w:t xml:space="preserve"> </w:t>
      </w:r>
      <w:r>
        <w:t xml:space="preserve">diagnostic plot before continuing.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Detect and remove doublets with DoubletFinder.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02-remove-doublets.R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Filter compromised cells with miQC.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03-remove-compromised.R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▲</w:t>
      </w:r>
      <w:r>
        <w:t xml:space="preserve"> </w:t>
      </w:r>
      <w:r>
        <w:rPr>
          <w:b/>
          <w:bCs/>
        </w:rPr>
        <w:t xml:space="preserve">CRITICAL STEP</w:t>
      </w:r>
      <w:r>
        <w:t xml:space="preserve"> </w:t>
      </w:r>
      <w:r>
        <w:t xml:space="preserve">— Inspect the per‑sample miQC posterior probability</w:t>
      </w:r>
      <w:r>
        <w:t xml:space="preserve"> </w:t>
      </w:r>
      <w:r>
        <w:t xml:space="preserve">plots to ensure that healthy cell populations are retained.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Output check.</w:t>
      </w:r>
      <w:r>
        <w:t xml:space="preserve"> </w:t>
      </w:r>
      <w:r>
        <w:t xml:space="preserve">Confirm the filtered feature‑barcode matrices and</w:t>
      </w:r>
      <w:r>
        <w:t xml:space="preserve"> </w:t>
      </w:r>
      <w:r>
        <w:t xml:space="preserve">sample‑level QC tables in</w:t>
      </w:r>
      <w:r>
        <w:t xml:space="preserve"> </w:t>
      </w:r>
      <w:r>
        <w:rPr>
          <w:rStyle w:val="VerbatimChar"/>
        </w:rPr>
        <w:t xml:space="preserve">analyses/data-preprocessing/results/</w:t>
      </w:r>
      <w:r>
        <w:t xml:space="preserve">.</w:t>
      </w:r>
    </w:p>
    <w:bookmarkEnd w:id="26"/>
    <w:bookmarkStart w:id="27" w:name="module-2-cell-typing-timing-14-h"/>
    <w:p>
      <w:pPr>
        <w:pStyle w:val="Heading3"/>
      </w:pPr>
      <w:r>
        <w:t xml:space="preserve">Module 2 — Cell typing ● Timing 1–4 h</w:t>
      </w:r>
    </w:p>
    <w:p>
      <w:pPr>
        <w:pStyle w:val="BlockText"/>
      </w:pPr>
      <w:r>
        <w:t xml:space="preserve">Source material:</w:t>
      </w:r>
      <w:r>
        <w:t xml:space="preserve"> </w:t>
      </w:r>
      <w:r>
        <w:rPr>
          <w:rStyle w:val="VerbatimChar"/>
        </w:rPr>
        <w:t xml:space="preserve">analyses/cell-typing/README.md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run-cell-typing.sh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Consolidate samples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01-consolidate-samples.R</w:t>
      </w:r>
      <w:r>
        <w:t xml:space="preserve"> </w:t>
      </w:r>
      <w:r>
        <w:t xml:space="preserve">(Seurat:</w:t>
      </w:r>
      <w:r>
        <w:t xml:space="preserve"> </w:t>
      </w:r>
      <w:r>
        <w:t xml:space="preserve">normalization, optional integration via Harmony / CCA / FastMNN /</w:t>
      </w:r>
      <w:r>
        <w:t xml:space="preserve"> </w:t>
      </w:r>
      <w:r>
        <w:t xml:space="preserve">RPCA, clustering).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Annotate cell types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02-annotate-cell-types.R</w:t>
      </w:r>
      <w:r>
        <w:t xml:space="preserve"> </w:t>
      </w:r>
      <w:r>
        <w:t xml:space="preserve">(SingleR with</w:t>
      </w:r>
      <w:r>
        <w:t xml:space="preserve"> </w:t>
      </w:r>
      <w:r>
        <w:t xml:space="preserve">celldex references, custom Seurat references, or external mapping</w:t>
      </w:r>
      <w:r>
        <w:t xml:space="preserve"> </w:t>
      </w:r>
      <w:r>
        <w:t xml:space="preserve">files).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Output check.</w:t>
      </w:r>
      <w:r>
        <w:t xml:space="preserve"> </w:t>
      </w:r>
      <w:r>
        <w:t xml:space="preserve">UMAPs, heatmaps, and annotation tables under</w:t>
      </w:r>
      <w:r>
        <w:t xml:space="preserve"> </w:t>
      </w:r>
      <w:r>
        <w:rPr>
          <w:rStyle w:val="VerbatimChar"/>
        </w:rPr>
        <w:t xml:space="preserve">analyses/cell-typing/plots/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.../results/</w:t>
      </w:r>
      <w:r>
        <w:t xml:space="preserve">.</w:t>
      </w:r>
    </w:p>
    <w:bookmarkEnd w:id="27"/>
    <w:bookmarkStart w:id="28" w:name="X00ee2bf91f68c1ab706dc9cee839c495625a4ec"/>
    <w:p>
      <w:pPr>
        <w:pStyle w:val="Heading3"/>
      </w:pPr>
      <w:r>
        <w:t xml:space="preserve">Module 3 — Ploidy inference ● Timing 1–8 h (CPU‑bound)</w:t>
      </w:r>
    </w:p>
    <w:p>
      <w:pPr>
        <w:pStyle w:val="BlockText"/>
      </w:pPr>
      <w:r>
        <w:t xml:space="preserve">Source material:</w:t>
      </w:r>
      <w:r>
        <w:t xml:space="preserve"> </w:t>
      </w:r>
      <w:r>
        <w:rPr>
          <w:rStyle w:val="VerbatimChar"/>
        </w:rPr>
        <w:t xml:space="preserve">analyses/ploidy-inference/README.md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run-ploidy-inference.sh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Classify cell ploidy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01-classify-cell-ploidy.R</w:t>
      </w:r>
      <w:r>
        <w:rPr>
          <w:b/>
          <w:bCs/>
        </w:rPr>
        <w:t xml:space="preserve"> </w:t>
      </w:r>
      <w:r>
        <w:rPr>
          <w:b/>
          <w:bCs/>
        </w:rPr>
        <w:t xml:space="preserve">(copykat).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Inspect copykat heatmaps</w:t>
      </w:r>
      <w:r>
        <w:t xml:space="preserve"> </w:t>
      </w:r>
      <w:r>
        <w:t xml:space="preserve">and merge ploidy classes into the Seurat</w:t>
      </w:r>
      <w:r>
        <w:t xml:space="preserve"> </w:t>
      </w:r>
      <w:r>
        <w:t xml:space="preserve">metadata.</w:t>
      </w:r>
    </w:p>
    <w:p>
      <w:pPr>
        <w:numPr>
          <w:ilvl w:val="0"/>
          <w:numId w:val="1000"/>
        </w:numPr>
      </w:pPr>
      <w:r>
        <w:t xml:space="preserve">◆</w:t>
      </w:r>
      <w: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— Skip this module and use external malignancy labels</w:t>
      </w:r>
      <w:r>
        <w:t xml:space="preserve"> </w:t>
      </w:r>
      <w:r>
        <w:t xml:space="preserve">(e.g., from marker‑based annotation) when working with near‑diploid</w:t>
      </w:r>
      <w:r>
        <w:t xml:space="preserve"> </w:t>
      </w:r>
      <w:r>
        <w:t xml:space="preserve">cancers.</w:t>
      </w:r>
    </w:p>
    <w:bookmarkEnd w:id="28"/>
    <w:bookmarkStart w:id="29" w:name="module-4-snv-calling-timing-424-h"/>
    <w:p>
      <w:pPr>
        <w:pStyle w:val="Heading3"/>
      </w:pPr>
      <w:r>
        <w:t xml:space="preserve">Module 4 — SNV calling ● Timing 4–24 h</w:t>
      </w:r>
    </w:p>
    <w:p>
      <w:pPr>
        <w:pStyle w:val="BlockText"/>
      </w:pPr>
      <w:r>
        <w:t xml:space="preserve">Source material:</w:t>
      </w:r>
      <w:r>
        <w:t xml:space="preserve"> </w:t>
      </w:r>
      <w:r>
        <w:rPr>
          <w:rStyle w:val="VerbatimChar"/>
        </w:rPr>
        <w:t xml:space="preserve">analyses/snv-calling/README.md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run-snv-calling.sh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utils/run-cellsnp-lite.sh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Extract barcodes for the target population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01-get-cell-type-barcodes.R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Run cellsnp‑lite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02-snv-calling.py</w:t>
      </w:r>
      <w:r>
        <w:t xml:space="preserve">.</w:t>
      </w:r>
      <w:r>
        <w:t xml:space="preserve"> </w:t>
      </w:r>
      <w:r>
        <w:rPr>
          <w:i/>
          <w:iCs/>
        </w:rPr>
        <w:t xml:space="preserve">(TODO: enumerate</w:t>
      </w:r>
      <w:r>
        <w:rPr>
          <w:i/>
          <w:iCs/>
        </w:rPr>
        <w:t xml:space="preserve"> </w:t>
      </w:r>
      <w:r>
        <w:rPr>
          <w:i/>
          <w:iCs/>
        </w:rPr>
        <w:t xml:space="preserve">Mode 1 vs Mode 2 parameters, optional REDIportal/PoN filtering.)</w:t>
      </w:r>
    </w:p>
    <w:p>
      <w:pPr>
        <w:numPr>
          <w:ilvl w:val="0"/>
          <w:numId w:val="1000"/>
        </w:numPr>
      </w:pPr>
      <w:r>
        <w:t xml:space="preserve">▲</w:t>
      </w:r>
      <w:r>
        <w:t xml:space="preserve"> </w:t>
      </w:r>
      <w:r>
        <w:rPr>
          <w:b/>
          <w:bCs/>
        </w:rPr>
        <w:t xml:space="preserve">CRITICAL STEP</w:t>
      </w:r>
      <w:r>
        <w:t xml:space="preserve"> </w:t>
      </w:r>
      <w:r>
        <w:t xml:space="preserve">— Verify the count of variants surviving filtering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min_maf</w:t>
      </w:r>
      <w:r>
        <w:t xml:space="preserve">); too few SNVs will starve downstream</w:t>
      </w:r>
      <w:r>
        <w:t xml:space="preserve"> </w:t>
      </w:r>
      <w:r>
        <w:t xml:space="preserve">phylogenetics.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Generate SNP MSAs and mutation profile matrices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03-generate-snp-msa.py</w:t>
      </w:r>
      <w:r>
        <w:t xml:space="preserve"> </w:t>
      </w:r>
      <w:r>
        <w:t xml:space="preserve">(parameters:</w:t>
      </w:r>
      <w:r>
        <w:t xml:space="preserve"> </w:t>
      </w:r>
      <w:r>
        <w:rPr>
          <w:rStyle w:val="VerbatimChar"/>
        </w:rPr>
        <w:t xml:space="preserve">min_cells_per_snp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min_snps_per_cell</w:t>
      </w:r>
      <w:r>
        <w:t xml:space="preserve">, allele frequency thresholds).</w:t>
      </w:r>
    </w:p>
    <w:bookmarkEnd w:id="29"/>
    <w:bookmarkStart w:id="30" w:name="X72cb403c1cb791fca4f9a6295628ba59a4d9524"/>
    <w:p>
      <w:pPr>
        <w:pStyle w:val="Heading3"/>
      </w:pPr>
      <w:r>
        <w:t xml:space="preserve">Module 5 — Phylogeny inference ● Timing 4–18 h</w:t>
      </w:r>
    </w:p>
    <w:p>
      <w:pPr>
        <w:pStyle w:val="BlockText"/>
      </w:pPr>
      <w:r>
        <w:t xml:space="preserve">Source material:</w:t>
      </w:r>
      <w:r>
        <w:t xml:space="preserve"> </w:t>
      </w:r>
      <w:r>
        <w:rPr>
          <w:rStyle w:val="VerbatimChar"/>
        </w:rPr>
        <w:t xml:space="preserve">analyses/phylogeny-inference/README.md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run-phylogeny-inference.sh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Infer maximum‑likelihood phylogenies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01-phylogeny-inference.py</w:t>
      </w:r>
      <w:r>
        <w:t xml:space="preserve"> </w:t>
      </w:r>
      <w:r>
        <w:t xml:space="preserve">(FastTree or IQ‑TREE).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Harmonize variant sets across tree and clustering inputs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02-filter-variants.py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Cluster clones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03-snp-clustering.py</w:t>
      </w:r>
      <w:r>
        <w:t xml:space="preserve"> </w:t>
      </w:r>
      <w:r>
        <w:t xml:space="preserve">(SNPmanifold VAE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hierarchical Ward + WNMF).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Annotate trees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04-infer-clonal-phylogeny.R</w:t>
      </w:r>
      <w:r>
        <w:t xml:space="preserve"> </w:t>
      </w:r>
      <w:r>
        <w:t xml:space="preserve">to overlay clone,</w:t>
      </w:r>
      <w:r>
        <w:t xml:space="preserve"> </w:t>
      </w:r>
      <w:r>
        <w:t xml:space="preserve">ploidy, cell type, and sample of origin and to produce annotated</w:t>
      </w:r>
      <w:r>
        <w:t xml:space="preserve"> </w:t>
      </w:r>
      <w:r>
        <w:t xml:space="preserve">clonal/lineage/sample‑level trees.</w:t>
      </w:r>
    </w:p>
    <w:p>
      <w:pPr>
        <w:numPr>
          <w:ilvl w:val="0"/>
          <w:numId w:val="1000"/>
        </w:numPr>
      </w:pPr>
      <w:r>
        <w:t xml:space="preserve">❚</w:t>
      </w:r>
      <w:r>
        <w:t xml:space="preserve"> </w:t>
      </w:r>
      <w:r>
        <w:rPr>
          <w:b/>
          <w:bCs/>
        </w:rPr>
        <w:t xml:space="preserve">PAUSE POINT</w:t>
      </w:r>
      <w:r>
        <w:t xml:space="preserve"> </w:t>
      </w:r>
      <w:r>
        <w:t xml:space="preserve">— Save annotated tree objects (</w:t>
      </w:r>
      <w:r>
        <w:rPr>
          <w:rStyle w:val="VerbatimChar"/>
        </w:rPr>
        <w:t xml:space="preserve">.rds</w:t>
      </w:r>
      <w:r>
        <w:t xml:space="preserve">/</w:t>
      </w:r>
      <w:r>
        <w:rPr>
          <w:rStyle w:val="VerbatimChar"/>
        </w:rPr>
        <w:t xml:space="preserve">.nwk</w:t>
      </w:r>
      <w:r>
        <w:t xml:space="preserve">) before</w:t>
      </w:r>
      <w:r>
        <w:t xml:space="preserve"> </w:t>
      </w:r>
      <w:r>
        <w:t xml:space="preserve">downstream DEG/GSEA analyses.</w:t>
      </w:r>
    </w:p>
    <w:bookmarkEnd w:id="30"/>
    <w:bookmarkEnd w:id="31"/>
    <w:bookmarkStart w:id="32" w:name="timing"/>
    <w:p>
      <w:pPr>
        <w:pStyle w:val="Heading2"/>
      </w:pPr>
      <w:r>
        <w:t xml:space="preserve">Timing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placeholder. Per‑step timings will be filled in</w:t>
      </w:r>
      <w:r>
        <w:t xml:space="preserve"> </w:t>
      </w:r>
      <w:r>
        <w:t xml:space="preserve">after benchmarking on the SPECTRUM‑OV‑003 case study.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Approx. time (case study)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Module 1 — Data preprocessing</w:t>
            </w:r>
          </w:p>
        </w:tc>
        <w:tc>
          <w:tcPr/>
          <w:p>
            <w:pPr>
              <w:pStyle w:val="Compact"/>
            </w:pPr>
            <w:r>
              <w:t xml:space="preserve">2–6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Module 2 — Cell typing</w:t>
            </w:r>
          </w:p>
        </w:tc>
        <w:tc>
          <w:tcPr/>
          <w:p>
            <w:pPr>
              <w:pStyle w:val="Compact"/>
            </w:pPr>
            <w:r>
              <w:t xml:space="preserve">1–4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Module 3 — Ploidy inference (copykat)</w:t>
            </w:r>
          </w:p>
        </w:tc>
        <w:tc>
          <w:tcPr/>
          <w:p>
            <w:pPr>
              <w:pStyle w:val="Compact"/>
            </w:pPr>
            <w:r>
              <w:t xml:space="preserve">1–8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Module 4 — SNV calling (cellsnp‑lite + MSA)</w:t>
            </w:r>
          </w:p>
        </w:tc>
        <w:tc>
          <w:tcPr/>
          <w:p>
            <w:pPr>
              <w:pStyle w:val="Compact"/>
            </w:pPr>
            <w:r>
              <w:t xml:space="preserve">4–24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14–17</w:t>
            </w:r>
          </w:p>
        </w:tc>
        <w:tc>
          <w:tcPr/>
          <w:p>
            <w:pPr>
              <w:pStyle w:val="Compact"/>
            </w:pPr>
            <w:r>
              <w:t xml:space="preserve">Module 5 — Phylogeny inference and clonal clustering</w:t>
            </w:r>
          </w:p>
        </w:tc>
        <w:tc>
          <w:tcPr/>
          <w:p>
            <w:pPr>
              <w:pStyle w:val="Compact"/>
            </w:pPr>
            <w:r>
              <w:t xml:space="preserve">4–18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End‑to‑end execution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24–48 h</w:t>
            </w:r>
            <w:r>
              <w:t xml:space="preserve"> </w:t>
            </w:r>
            <w:r>
              <w:t xml:space="preserve">(typical)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replace approximate ranges with measured wall‑clock times on a</w:t>
      </w:r>
      <w:r>
        <w:t xml:space="preserve"> </w:t>
      </w:r>
      <w:r>
        <w:t xml:space="preserve">defined HPC profile (CPU/RAM/threads). Add hands‑on vs. compute‑only</w:t>
      </w:r>
      <w:r>
        <w:t xml:space="preserve"> </w:t>
      </w:r>
      <w:r>
        <w:t xml:space="preserve">breakdowns where useful.</w:t>
      </w:r>
    </w:p>
    <w:bookmarkEnd w:id="32"/>
    <w:bookmarkStart w:id="33" w:name="troubleshooting"/>
    <w:p>
      <w:pPr>
        <w:pStyle w:val="Heading2"/>
      </w:pPr>
      <w:r>
        <w:t xml:space="preserve">Troubleshooting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placeholder. Each module README in the</w:t>
      </w:r>
      <w:r>
        <w:t xml:space="preserve"> </w:t>
      </w:r>
      <w:r>
        <w:t xml:space="preserve">scPhylogenomics repository contains a</w:t>
      </w:r>
      <w:r>
        <w:t xml:space="preserve"> </w:t>
      </w:r>
      <w:r>
        <w:t xml:space="preserve">“Troubleshooting / Common issues”</w:t>
      </w:r>
      <w:r>
        <w:t xml:space="preserve"> </w:t>
      </w:r>
      <w:r>
        <w:t xml:space="preserve">block — these will be consolidated here in Nature Protocols house style</w:t>
      </w:r>
      <w:r>
        <w:t xml:space="preserve"> </w:t>
      </w:r>
      <w:r>
        <w:t xml:space="preserve">(Step | Problem | Possible reason | Solution).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reason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SoupX</w:t>
            </w:r>
            <w:r>
              <w:t xml:space="preserve"> </w:t>
            </w:r>
            <w:r>
              <w:rPr>
                <w:rStyle w:val="VerbatimChar"/>
              </w:rPr>
              <w:t xml:space="preserve">rho</w:t>
            </w:r>
            <w:r>
              <w:t xml:space="preserve"> </w:t>
            </w:r>
            <w:r>
              <w:t xml:space="preserve">cannot be estimated</w:t>
            </w:r>
          </w:p>
        </w:tc>
        <w:tc>
          <w:tcPr/>
          <w:p>
            <w:pPr>
              <w:pStyle w:val="Compact"/>
            </w:pPr>
            <w:r>
              <w:t xml:space="preserve">Too few empty droplets in raw matrix</w:t>
            </w:r>
          </w:p>
        </w:tc>
        <w:tc>
          <w:tcPr/>
          <w:p>
            <w:pPr>
              <w:pStyle w:val="Compac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tod</w:t>
            </w:r>
            <w:r>
              <w:t xml:space="preserve">/</w:t>
            </w:r>
            <w:r>
              <w:rPr>
                <w:rStyle w:val="VerbatimChar"/>
              </w:rPr>
              <w:t xml:space="preserve">toc</w:t>
            </w:r>
            <w:r>
              <w:t xml:space="preserve"> </w:t>
            </w:r>
            <w:r>
              <w:t xml:space="preserve">from raw Cell Ranger output and re‑run with manually supplied clusters.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DoubletFinder identifies an implausibly large doublet fraction</w:t>
            </w:r>
          </w:p>
        </w:tc>
        <w:tc>
          <w:tcPr/>
          <w:p>
            <w:pPr>
              <w:pStyle w:val="Compact"/>
            </w:pPr>
            <w:r>
              <w:t xml:space="preserve">Heterogeneous tissue with rare populations</w:t>
            </w:r>
          </w:p>
        </w:tc>
        <w:tc>
          <w:tcPr/>
          <w:p>
            <w:pPr>
              <w:pStyle w:val="Compact"/>
            </w:pPr>
            <w:r>
              <w:t xml:space="preserve">Re‑estimate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paramSweep_v3</w:t>
            </w:r>
            <w:r>
              <w:t xml:space="preserve"> </w:t>
            </w:r>
            <w:r>
              <w:t xml:space="preserve">and tune the expected doublet rate to the chemistry.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miQC drops most cells</w:t>
            </w:r>
          </w:p>
        </w:tc>
        <w:tc>
          <w:tcPr/>
          <w:p>
            <w:pPr>
              <w:pStyle w:val="Compact"/>
            </w:pPr>
            <w:r>
              <w:t xml:space="preserve">Tissue with intrinsically high mitochondrial signal</w:t>
            </w:r>
          </w:p>
        </w:tc>
        <w:tc>
          <w:tcPr/>
          <w:p>
            <w:pPr>
              <w:pStyle w:val="Compact"/>
            </w:pPr>
            <w:r>
              <w:t xml:space="preserve">Replace miQC with a fixed % MT cutoff or run on a tissue‑matched calibration dataset.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SingleR labels are sparse /</w:t>
            </w:r>
            <w:r>
              <w:t xml:space="preserve"> </w:t>
            </w:r>
            <w:r>
              <w:t xml:space="preserve">“NA”</w:t>
            </w:r>
          </w:p>
        </w:tc>
        <w:tc>
          <w:tcPr/>
          <w:p>
            <w:pPr>
              <w:pStyle w:val="Compact"/>
            </w:pPr>
            <w:r>
              <w:t xml:space="preserve">Reference mismatch</w:t>
            </w:r>
          </w:p>
        </w:tc>
        <w:tc>
          <w:tcPr/>
          <w:p>
            <w:pPr>
              <w:pStyle w:val="Compact"/>
            </w:pPr>
            <w:r>
              <w:t xml:space="preserve">Use a lineage‑matched celldex reference or a custom Seurat reference built with</w:t>
            </w:r>
            <w:r>
              <w:t xml:space="preserve"> </w:t>
            </w:r>
            <w:r>
              <w:rPr>
                <w:rStyle w:val="VerbatimChar"/>
              </w:rPr>
              <w:t xml:space="preserve">scripts/create-reference-dataset.R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copykat fails to converge</w:t>
            </w:r>
          </w:p>
        </w:tc>
        <w:tc>
          <w:tcPr/>
          <w:p>
            <w:pPr>
              <w:pStyle w:val="Compact"/>
            </w:pPr>
            <w:r>
              <w:t xml:space="preserve">Too few cells; unclear normal baseline</w:t>
            </w:r>
          </w:p>
        </w:tc>
        <w:tc>
          <w:tcPr/>
          <w:p>
            <w:pPr>
              <w:pStyle w:val="Compact"/>
            </w:pPr>
            <w:r>
              <w:t xml:space="preserve">Provide a normal‑cell barcode list explicitly via</w:t>
            </w:r>
            <w:r>
              <w:t xml:space="preserve"> </w:t>
            </w:r>
            <w:r>
              <w:rPr>
                <w:rStyle w:val="VerbatimChar"/>
              </w:rPr>
              <w:t xml:space="preserve">norm.cell.names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cellsnp‑lite output is empty</w:t>
            </w:r>
          </w:p>
        </w:tc>
        <w:tc>
          <w:tcPr/>
          <w:p>
            <w:pPr>
              <w:pStyle w:val="Compact"/>
            </w:pPr>
            <w:r>
              <w:t xml:space="preserve">BAM lacks</w:t>
            </w:r>
            <w:r>
              <w:t xml:space="preserve"> </w:t>
            </w:r>
            <w:r>
              <w:rPr>
                <w:rStyle w:val="VerbatimChar"/>
              </w:rPr>
              <w:t xml:space="preserve">CB</w:t>
            </w:r>
            <w:r>
              <w:t xml:space="preserve">/</w:t>
            </w:r>
            <w:r>
              <w:rPr>
                <w:rStyle w:val="VerbatimChar"/>
              </w:rPr>
              <w:t xml:space="preserve">UB</w:t>
            </w:r>
            <w:r>
              <w:t xml:space="preserve"> </w:t>
            </w:r>
            <w:r>
              <w:t xml:space="preserve">tags or barcodes don’t match Cell Ranger output</w:t>
            </w:r>
          </w:p>
        </w:tc>
        <w:tc>
          <w:tcPr/>
          <w:p>
            <w:pPr>
              <w:pStyle w:val="Compact"/>
            </w:pPr>
            <w:r>
              <w:t xml:space="preserve">Re‑split BAM with the same barcode list used in Module 1; verify chemistry.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SNP MSA collapses to a few cells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min_cells_per_snp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min_snps_per_cell</w:t>
            </w:r>
            <w:r>
              <w:t xml:space="preserve"> </w:t>
            </w:r>
            <w:r>
              <w:t xml:space="preserve">too strict</w:t>
            </w:r>
          </w:p>
        </w:tc>
        <w:tc>
          <w:tcPr/>
          <w:p>
            <w:pPr>
              <w:pStyle w:val="Compact"/>
            </w:pPr>
            <w:r>
              <w:t xml:space="preserve">Lower thresholds; inspect SNP/cell distribution histograms.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IQ‑TREE OOM / very slow</w:t>
            </w:r>
          </w:p>
        </w:tc>
        <w:tc>
          <w:tcPr/>
          <w:p>
            <w:pPr>
              <w:pStyle w:val="Compact"/>
            </w:pPr>
            <w:r>
              <w:t xml:space="preserve">Too many sites or cells</w:t>
            </w:r>
          </w:p>
        </w:tc>
        <w:tc>
          <w:tcPr/>
          <w:p>
            <w:pPr>
              <w:pStyle w:val="Compact"/>
            </w:pPr>
            <w:r>
              <w:t xml:space="preserve">Use FastTree first; subset variants by</w:t>
            </w:r>
            <w:r>
              <w:t xml:space="preserve"> </w:t>
            </w:r>
            <w:r>
              <w:rPr>
                <w:rStyle w:val="VerbatimChar"/>
              </w:rPr>
              <w:t xml:space="preserve">02-filter-variants.py</w:t>
            </w:r>
            <w:r>
              <w:t xml:space="preserve">; partition by chromosome.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SNPmanifold latent space collapses</w:t>
            </w:r>
          </w:p>
        </w:tc>
        <w:tc>
          <w:tcPr/>
          <w:p>
            <w:pPr>
              <w:pStyle w:val="Compact"/>
            </w:pPr>
            <w:r>
              <w:t xml:space="preserve">Insufficient informative SNPs per cell</w:t>
            </w:r>
          </w:p>
        </w:tc>
        <w:tc>
          <w:tcPr/>
          <w:p>
            <w:pPr>
              <w:pStyle w:val="Compact"/>
            </w:pPr>
            <w:r>
              <w:t xml:space="preserve">Reduce VAE latent dim; switch to hierarchical WNMF clustering.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extend with case‑study‑specific failure modes encountered</w:t>
      </w:r>
      <w:r>
        <w:t xml:space="preserve"> </w:t>
      </w:r>
      <w:r>
        <w:t xml:space="preserve">during the SPECTRUM‑OV‑003 / TNBC5 / LE1 runs.</w:t>
      </w:r>
    </w:p>
    <w:bookmarkEnd w:id="33"/>
    <w:bookmarkStart w:id="39" w:name="anticipated-results"/>
    <w:p>
      <w:pPr>
        <w:pStyle w:val="Heading2"/>
      </w:pPr>
      <w:r>
        <w:t xml:space="preserve">Anticipated results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placeholder. To be expanded once the case‑study</w:t>
      </w:r>
      <w:r>
        <w:t xml:space="preserve"> </w:t>
      </w:r>
      <w:r>
        <w:t xml:space="preserve">figures are finalized. Each subsection below corresponds to a planned</w:t>
      </w:r>
      <w:r>
        <w:t xml:space="preserve"> </w:t>
      </w:r>
      <w:r>
        <w:t xml:space="preserve">figure or supplementary item.</w:t>
      </w:r>
    </w:p>
    <w:bookmarkStart w:id="34" w:name="module-1-cleaned-featurebarcode-matrices"/>
    <w:p>
      <w:pPr>
        <w:pStyle w:val="Heading3"/>
      </w:pPr>
      <w:r>
        <w:t xml:space="preserve">Module 1 — Cleaned feature‑barcode matrices</w:t>
      </w:r>
    </w:p>
    <w:p>
      <w:pPr>
        <w:pStyle w:val="FirstParagraph"/>
      </w:pPr>
      <w:r>
        <w:t xml:space="preserve">Users should obtain per‑sample filtered Seurat objects with diagnostic</w:t>
      </w:r>
      <w:r>
        <w:t xml:space="preserve"> </w:t>
      </w:r>
      <w:r>
        <w:t xml:space="preserve">plots showing (i) the SoupX contamination fraction</w:t>
      </w:r>
      <w:r>
        <w:t xml:space="preserve"> </w:t>
      </w:r>
      <w:r>
        <w:rPr>
          <w:rStyle w:val="VerbatimChar"/>
        </w:rPr>
        <w:t xml:space="preserve">rho</w:t>
      </w:r>
      <w:r>
        <w:t xml:space="preserve">, (ii)</w:t>
      </w:r>
      <w:r>
        <w:t xml:space="preserve"> </w:t>
      </w:r>
      <w:r>
        <w:t xml:space="preserve">DoubletFinder doublet‑score distributions, and (iii) miQC posterior</w:t>
      </w:r>
      <w:r>
        <w:t xml:space="preserve"> </w:t>
      </w:r>
      <w:r>
        <w:t xml:space="preserve">probability surfaces. Typical retention is 60–90% of input barcodes.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insert representative QC panel for SPECTRUM‑OV‑003.</w:t>
      </w:r>
    </w:p>
    <w:bookmarkEnd w:id="34"/>
    <w:bookmarkStart w:id="35" w:name="module-2-referenceannotated-cell-atlas"/>
    <w:p>
      <w:pPr>
        <w:pStyle w:val="Heading3"/>
      </w:pPr>
      <w:r>
        <w:t xml:space="preserve">Module 2 — Reference‑annotated cell atlas</w:t>
      </w:r>
    </w:p>
    <w:p>
      <w:pPr>
        <w:pStyle w:val="FirstParagraph"/>
      </w:pPr>
      <w:r>
        <w:t xml:space="preserve">Expected output: an integrated UMAP partitioned into epithelial,</w:t>
      </w:r>
      <w:r>
        <w:t xml:space="preserve"> </w:t>
      </w:r>
      <w:r>
        <w:t xml:space="preserve">stromal, and immune compartments with SingleR labels. For SPECTRUM‑OV‑003</w:t>
      </w:r>
      <w:r>
        <w:t xml:space="preserve"> </w:t>
      </w:r>
      <w:r>
        <w:t xml:space="preserve">the case study yields a clear epithelial/aneuploid axis distinguishable</w:t>
      </w:r>
      <w:r>
        <w:t xml:space="preserve"> </w:t>
      </w:r>
      <w:r>
        <w:t xml:space="preserve">from the tumor microenvironment.</w:t>
      </w:r>
    </w:p>
    <w:bookmarkEnd w:id="35"/>
    <w:bookmarkStart w:id="36" w:name="module-3-ploidy-classification"/>
    <w:p>
      <w:pPr>
        <w:pStyle w:val="Heading3"/>
      </w:pPr>
      <w:r>
        <w:t xml:space="preserve">Module 3 — Ploidy classification</w:t>
      </w:r>
    </w:p>
    <w:p>
      <w:pPr>
        <w:pStyle w:val="FirstParagraph"/>
      </w:pPr>
      <w:r>
        <w:t xml:space="preserve">Expected output: copykat heatmaps showing chromosome‑level CNV signal,</w:t>
      </w:r>
      <w:r>
        <w:t xml:space="preserve"> </w:t>
      </w:r>
      <w:r>
        <w:t xml:space="preserve">plus a metadata column partitioning cells into</w:t>
      </w:r>
      <w:r>
        <w:t xml:space="preserve"> </w:t>
      </w:r>
      <w:r>
        <w:rPr>
          <w:rStyle w:val="VerbatimChar"/>
        </w:rPr>
        <w:t xml:space="preserve">aneuploid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diploid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not.defined</w:t>
      </w:r>
      <w:r>
        <w:t xml:space="preserve">. Aneuploid fraction varies by tumor type;</w:t>
      </w:r>
      <w:r>
        <w:t xml:space="preserve"> </w:t>
      </w:r>
      <w:r>
        <w:t xml:space="preserve">HGSOC samples typically exceed 70% aneuploid epithelial cells.</w:t>
      </w:r>
    </w:p>
    <w:bookmarkEnd w:id="36"/>
    <w:bookmarkStart w:id="37" w:name="module-4-snp-msas-and-mutation-matrices"/>
    <w:p>
      <w:pPr>
        <w:pStyle w:val="Heading3"/>
      </w:pPr>
      <w:r>
        <w:t xml:space="preserve">Module 4 — SNP MSAs and mutation matrices</w:t>
      </w:r>
    </w:p>
    <w:p>
      <w:pPr>
        <w:pStyle w:val="FirstParagraph"/>
      </w:pPr>
      <w:r>
        <w:t xml:space="preserve">Expected output: a FASTA‑style SNP pseudo‑MSA (cells × ordered SNP</w:t>
      </w:r>
      <w:r>
        <w:t xml:space="preserve"> </w:t>
      </w:r>
      <w:r>
        <w:t xml:space="preserve">loci) and a binary/tertiary mutation matrix (</w:t>
      </w:r>
      <w:r>
        <w:rPr>
          <w:rStyle w:val="VerbatimChar"/>
        </w:rPr>
        <w:t xml:space="preserve">0/1/3</w:t>
      </w:r>
      <w:r>
        <w:t xml:space="preserve"> </w:t>
      </w:r>
      <w:r>
        <w:t xml:space="preserve">for ref/alt/missing).</w:t>
      </w:r>
      <w:r>
        <w:t xml:space="preserve"> </w:t>
      </w:r>
      <w:r>
        <w:t xml:space="preserve">Typical sizes for the case studies range from a few thousand to tens of</w:t>
      </w:r>
      <w:r>
        <w:t xml:space="preserve"> </w:t>
      </w:r>
      <w:r>
        <w:t xml:space="preserve">thousands of SNPs across thousands of cells after default filtering.</w:t>
      </w:r>
    </w:p>
    <w:bookmarkEnd w:id="37"/>
    <w:bookmarkStart w:id="38" w:name="module-5-annotated-clonal-phylogenies"/>
    <w:p>
      <w:pPr>
        <w:pStyle w:val="Heading3"/>
      </w:pPr>
      <w:r>
        <w:t xml:space="preserve">Module 5 — Annotated clonal phylogenies</w:t>
      </w:r>
    </w:p>
    <w:p>
      <w:pPr>
        <w:pStyle w:val="FirstParagraph"/>
      </w:pPr>
      <w:r>
        <w:t xml:space="preserve">Expected output: maximum‑likelihood trees (Newick + plot), clone</w:t>
      </w:r>
      <w:r>
        <w:t xml:space="preserve"> </w:t>
      </w:r>
      <w:r>
        <w:t xml:space="preserve">assignments, and overlay panels showing clone × sample, clone × cell</w:t>
      </w:r>
      <w:r>
        <w:t xml:space="preserve"> </w:t>
      </w:r>
      <w:r>
        <w:t xml:space="preserve">type and clone × ploidy. For SPECTRUM‑OV‑003 the trees are expected to</w:t>
      </w:r>
      <w:r>
        <w:t xml:space="preserve"> </w:t>
      </w:r>
      <w:r>
        <w:t xml:space="preserve">reveal site‑enriched aneuploid clones consistent with intraperitoneal</w:t>
      </w:r>
      <w:r>
        <w:t xml:space="preserve"> </w:t>
      </w:r>
      <w:r>
        <w:t xml:space="preserve">metastasis patterns.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embed final figures:</w:t>
      </w:r>
      <w:r>
        <w:t xml:space="preserve"> </w:t>
      </w:r>
      <w:r>
        <w:rPr>
          <w:rStyle w:val="VerbatimChar"/>
        </w:rPr>
        <w:t xml:space="preserve">images/fig2-cell-typing.png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images/fig3-ploidy.png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images/fig4-snv-msa.png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images/fig5-phylogeny.png</w:t>
      </w:r>
      <w:r>
        <w:t xml:space="preserve">.</w:t>
      </w:r>
    </w:p>
    <w:bookmarkEnd w:id="38"/>
    <w:bookmarkEnd w:id="39"/>
    <w:bookmarkStart w:id="40" w:name="discussion"/>
    <w:p>
      <w:pPr>
        <w:pStyle w:val="Heading2"/>
      </w:pPr>
      <w:r>
        <w:t xml:space="preserve">Discussion</w:t>
      </w:r>
    </w:p>
    <w:p>
      <w:pPr>
        <w:pStyle w:val="BlockText"/>
      </w:pPr>
      <w:r>
        <w:rPr>
          <w:b/>
          <w:bCs/>
        </w:rPr>
        <w:t xml:space="preserve">Drafting status:</w:t>
      </w:r>
      <w:r>
        <w:t xml:space="preserve"> </w:t>
      </w:r>
      <w:r>
        <w:t xml:space="preserve">placeholder. Nature Protocols allows an optional</w:t>
      </w:r>
      <w:r>
        <w:t xml:space="preserve"> </w:t>
      </w:r>
      <w:r>
        <w:t xml:space="preserve">short discussion. Anticipated themes: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First end‑to‑end, containerized scRNA‑seq → SNV →</w:t>
      </w:r>
      <w:r>
        <w:t xml:space="preserve"> </w:t>
      </w:r>
      <w:r>
        <w:t xml:space="preserve">phylogeny pipeline; explicit SNP MSAs that integrate with standard</w:t>
      </w:r>
      <w:r>
        <w:t xml:space="preserve"> </w:t>
      </w:r>
      <w:r>
        <w:t xml:space="preserve">phylogenetics software; pluggable clonal clustering.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Limitations.</w:t>
      </w:r>
      <w:r>
        <w:t xml:space="preserve"> </w:t>
      </w:r>
      <w:r>
        <w:t xml:space="preserve">Reliance on expressed loci; aneuploidy‑dependence of</w:t>
      </w:r>
      <w:r>
        <w:t xml:space="preserve"> </w:t>
      </w:r>
      <w:r>
        <w:t xml:space="preserve">copykat; computational cost on cohorts with millions of cells.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Outlook.</w:t>
      </w:r>
      <w:r>
        <w:t xml:space="preserve"> </w:t>
      </w:r>
      <w:r>
        <w:t xml:space="preserve">Extension to additional chemistries (Smart‑seq, multiome),</w:t>
      </w:r>
      <w:r>
        <w:t xml:space="preserve"> </w:t>
      </w:r>
      <w:r>
        <w:t xml:space="preserve">long‑read scRNA‑seq, joint inference with copy‑number trees, and</w:t>
      </w:r>
      <w:r>
        <w:t xml:space="preserve"> </w:t>
      </w:r>
      <w:r>
        <w:t xml:space="preserve">benchmarking against scDNA‑seq–based clonal trees.</w:t>
      </w:r>
    </w:p>
    <w:bookmarkEnd w:id="40"/>
    <w:bookmarkStart w:id="41" w:name="reporting-summary"/>
    <w:p>
      <w:pPr>
        <w:pStyle w:val="Heading2"/>
      </w:pPr>
      <w:r>
        <w:t xml:space="preserve">Reporting summary</w:t>
      </w:r>
    </w:p>
    <w:p>
      <w:pPr>
        <w:pStyle w:val="FirstParagraph"/>
      </w:pPr>
      <w:r>
        <w:t xml:space="preserve">A Nature Research Reporting Summary will be supplied with the final</w:t>
      </w:r>
      <w:r>
        <w:t xml:space="preserve"> </w:t>
      </w:r>
      <w:r>
        <w:t xml:space="preserve">manuscript submission.</w:t>
      </w:r>
      <w:r>
        <w:t xml:space="preserve"> </w:t>
      </w:r>
      <w:r>
        <w:rPr>
          <w:i/>
          <w:iCs/>
        </w:rPr>
        <w:t xml:space="preserve">(TODO.)</w:t>
      </w:r>
    </w:p>
    <w:bookmarkEnd w:id="41"/>
    <w:bookmarkStart w:id="42" w:name="data-availability"/>
    <w:p>
      <w:pPr>
        <w:pStyle w:val="Heading2"/>
      </w:pPr>
      <w:r>
        <w:t xml:space="preserve">Data availability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TNBC5</w:t>
      </w:r>
      <w:r>
        <w:t xml:space="preserve"> </w:t>
      </w:r>
      <w:r>
        <w:t xml:space="preserve">scRNA‑seq data are available under GEO accession</w:t>
      </w:r>
      <w:r>
        <w:t xml:space="preserve"> </w:t>
      </w:r>
      <w:r>
        <w:rPr>
          <w:rStyle w:val="VerbatimChar"/>
        </w:rPr>
        <w:t xml:space="preserve">@url:https://www.ncbi.nlm.nih.gov/geo/query/acc.cgi?acc=GSE148673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MSK SPECTRUM</w:t>
      </w:r>
      <w:r>
        <w:t xml:space="preserve"> </w:t>
      </w:r>
      <w:r>
        <w:t xml:space="preserve">data are available via Synapse</w:t>
      </w:r>
      <w:r>
        <w:t xml:space="preserve"> </w:t>
      </w:r>
      <w:r>
        <w:rPr>
          <w:rStyle w:val="VerbatimChar"/>
        </w:rPr>
        <w:t xml:space="preserve">@url:https://www.synapse.org/Synapse:syn25569736/wiki/612269</w:t>
      </w:r>
      <w:r>
        <w:t xml:space="preserve"> </w:t>
      </w:r>
      <w:r>
        <w:t xml:space="preserve">(controlled access).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AML LE1</w:t>
      </w:r>
      <w:r>
        <w:t xml:space="preserve"> </w:t>
      </w:r>
      <w:r>
        <w:t xml:space="preserve">data:</w:t>
      </w:r>
      <w:r>
        <w:t xml:space="preserve"> </w:t>
      </w:r>
      <w:r>
        <w:rPr>
          <w:i/>
          <w:iCs/>
        </w:rPr>
        <w:t xml:space="preserve">TODO — add accession or contact.</w:t>
      </w:r>
    </w:p>
    <w:bookmarkEnd w:id="42"/>
    <w:bookmarkStart w:id="43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scPhylogenomics workflow is openly developed at</w:t>
      </w:r>
      <w:r>
        <w:t xml:space="preserve"> </w:t>
      </w:r>
      <w:r>
        <w:rPr>
          <w:rStyle w:val="VerbatimChar"/>
        </w:rPr>
        <w:t xml:space="preserve">@url:https://github.com/ewafula/scPhylogenomics</w:t>
      </w:r>
      <w:r>
        <w:t xml:space="preserve">. Container images</w:t>
      </w:r>
      <w:r>
        <w:t xml:space="preserve"> </w:t>
      </w:r>
      <w:r>
        <w:t xml:space="preserve">(Docker/Singularity) are released under the same repository. The version</w:t>
      </w:r>
      <w:r>
        <w:t xml:space="preserve"> </w:t>
      </w:r>
      <w:r>
        <w:t xml:space="preserve">used in this protocol is pinned in</w:t>
      </w:r>
      <w:r>
        <w:t xml:space="preserve"> </w:t>
      </w:r>
      <w:r>
        <w:rPr>
          <w:rStyle w:val="VerbatimChar"/>
        </w:rPr>
        <w:t xml:space="preserve">build/environment.yml</w:t>
      </w:r>
      <w:r>
        <w:t xml:space="preserve"> </w:t>
      </w:r>
      <w:r>
        <w:t xml:space="preserve">and in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</w:t>
      </w:r>
    </w:p>
    <w:bookmarkEnd w:id="43"/>
    <w:bookmarkStart w:id="44" w:name="author-contributions"/>
    <w:p>
      <w:pPr>
        <w:pStyle w:val="Heading2"/>
      </w:pPr>
      <w:r>
        <w:t xml:space="preserve">Author contributions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populate using the CRediT taxonomy.</w:t>
      </w:r>
    </w:p>
    <w:p>
      <w:pPr>
        <w:pStyle w:val="FirstParagraph"/>
      </w:pPr>
      <w:r>
        <w:t xml:space="preserve">E.W. — software, methodology, writing — original draft. P.D. — methodology,</w:t>
      </w:r>
      <w:r>
        <w:t xml:space="preserve"> </w:t>
      </w:r>
      <w:r>
        <w:t xml:space="preserve">validation. S.M. — conceptualization, supervision, funding acquisition,</w:t>
      </w:r>
      <w:r>
        <w:t xml:space="preserve"> </w:t>
      </w:r>
      <w:r>
        <w:t xml:space="preserve">writing — review &amp; editing.</w:t>
      </w:r>
    </w:p>
    <w:bookmarkEnd w:id="44"/>
    <w:bookmarkStart w:id="45" w:name="acknowledgements"/>
    <w:p>
      <w:pPr>
        <w:pStyle w:val="Heading2"/>
      </w:pPr>
      <w:r>
        <w:t xml:space="preserve">Acknowledgements</w:t>
      </w:r>
    </w:p>
    <w:p>
      <w:pPr>
        <w:pStyle w:val="BlockText"/>
      </w:pPr>
      <w:r>
        <w:rPr>
          <w:b/>
          <w:bCs/>
        </w:rPr>
        <w:t xml:space="preserve">TODO</w:t>
      </w:r>
      <w:r>
        <w:t xml:space="preserve"> </w:t>
      </w:r>
      <w:r>
        <w:t xml:space="preserve">— funding sources, MSK SPECTRUM consortium acknowledgement,</w:t>
      </w:r>
      <w:r>
        <w:t xml:space="preserve"> </w:t>
      </w:r>
      <w:r>
        <w:t xml:space="preserve">Mississippi MAGIC HPC.</w:t>
      </w:r>
    </w:p>
    <w:bookmarkEnd w:id="45"/>
    <w:bookmarkStart w:id="46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46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Single-cell phylogenomics from scRNA-seq SNPs using scPhylogenomics: an end-to-end workflow for clonal tumor evolution analysis</dc:title>
  <dc:creator/>
  <dc:language>en-US</dc:language>
  <cp:keywords>single-cell RNA-seq, tumor phylogenomics, clonal evolution, SNV calling, cellsnp-lite, phylogenetics, protocol</cp:keywords>
  <dcterms:created xsi:type="dcterms:W3CDTF">2026-04-29T00:46:45Z</dcterms:created>
  <dcterms:modified xsi:type="dcterms:W3CDTF">2026-04-29T00:46:45Z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/>
  </property>
  <property fmtid="{D5CDD505-2E9C-101B-9397-08002B2CF9AE}" pid="3" name="bibliography">
    <vt:lpwstr>output/references.json</vt:lpwstr>
  </property>
  <property fmtid="{D5CDD505-2E9C-101B-9397-08002B2CF9AE}" pid="4" name="date-meta">
    <vt:lpwstr>2026-04-29</vt:lpwstr>
  </property>
  <property fmtid="{D5CDD505-2E9C-101B-9397-08002B2CF9AE}" pid="5" name="header-includes">
    <vt:lpwstr>  </vt:lpwstr>
  </property>
  <property fmtid="{D5CDD505-2E9C-101B-9397-08002B2CF9AE}" pid="6" name="manubot-clear-requests-cache">
    <vt:lpwstr>False</vt:lpwstr>
  </property>
  <property fmtid="{D5CDD505-2E9C-101B-9397-08002B2CF9AE}" pid="7" name="manubot-output-bibliography">
    <vt:lpwstr>output/references.json</vt:lpwstr>
  </property>
  <property fmtid="{D5CDD505-2E9C-101B-9397-08002B2CF9AE}" pid="8" name="manubot-output-citekeys">
    <vt:lpwstr>output/citations.tsv</vt:lpwstr>
  </property>
  <property fmtid="{D5CDD505-2E9C-101B-9397-08002B2CF9AE}" pid="9" name="manubot-requests-cache-path">
    <vt:lpwstr>ci/cache/requests-cache</vt:lpwstr>
  </property>
</Properties>
</file>