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ugjnjnza5swi" w:id="0"/>
      <w:bookmarkEnd w:id="0"/>
      <w:r w:rsidDel="00000000" w:rsidR="00000000" w:rsidRPr="00000000">
        <w:rPr>
          <w:rtl w:val="0"/>
        </w:rPr>
        <w:t xml:space="preserve">Trajectories of mental health among university staff and postgraduate students during the pandemic</w:t>
      </w:r>
    </w:p>
    <w:p w:rsidR="00000000" w:rsidDel="00000000" w:rsidP="00000000" w:rsidRDefault="00000000" w:rsidRPr="00000000" w14:paraId="00000002">
      <w:pPr>
        <w:pStyle w:val="Title"/>
        <w:pBdr>
          <w:bottom w:color="auto" w:space="0" w:sz="0" w:val="none"/>
        </w:pBdr>
        <w:jc w:val="center"/>
        <w:rPr>
          <w:b w:val="1"/>
        </w:rPr>
      </w:pPr>
      <w:bookmarkStart w:colFirst="0" w:colLast="0" w:name="_mhsqyxh4pkpe" w:id="1"/>
      <w:bookmarkEnd w:id="1"/>
      <w:r w:rsidDel="00000000" w:rsidR="00000000" w:rsidRPr="00000000">
        <w:rPr>
          <w:rFonts w:ascii="Arial" w:cs="Arial" w:eastAsia="Arial" w:hAnsi="Arial"/>
          <w:b w:val="1"/>
          <w:rtl w:val="0"/>
        </w:rPr>
        <w:t xml:space="preserve">Supplementary Materials</w:t>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rPr>
          </w:pPr>
          <w:r w:rsidDel="00000000" w:rsidR="00000000" w:rsidRPr="00000000">
            <w:fldChar w:fldCharType="begin"/>
            <w:instrText xml:space="preserve"> TOC \h \u \z </w:instrText>
            <w:fldChar w:fldCharType="separate"/>
          </w:r>
          <w:hyperlink w:anchor="_yagw7c6kpul9">
            <w:r w:rsidDel="00000000" w:rsidR="00000000" w:rsidRPr="00000000">
              <w:rPr>
                <w:rFonts w:ascii="Arial" w:cs="Arial" w:eastAsia="Arial" w:hAnsi="Arial"/>
                <w:b w:val="1"/>
                <w:rtl w:val="0"/>
              </w:rPr>
              <w:t xml:space="preserve">Supplementary Table 1</w:t>
            </w:r>
          </w:hyperlink>
          <w:r w:rsidDel="00000000" w:rsidR="00000000" w:rsidRPr="00000000">
            <w:rPr>
              <w:rFonts w:ascii="Arial" w:cs="Arial" w:eastAsia="Arial" w:hAnsi="Arial"/>
              <w:b w:val="1"/>
              <w:rtl w:val="0"/>
            </w:rPr>
            <w:tab/>
          </w:r>
          <w:r w:rsidDel="00000000" w:rsidR="00000000" w:rsidRPr="00000000">
            <w:fldChar w:fldCharType="begin"/>
            <w:instrText xml:space="preserve"> PAGEREF _yagw7c6kpul9 \h </w:instrText>
            <w:fldChar w:fldCharType="separate"/>
          </w:r>
          <w:r w:rsidDel="00000000" w:rsidR="00000000" w:rsidRPr="00000000">
            <w:rPr>
              <w:rFonts w:ascii="Arial" w:cs="Arial" w:eastAsia="Arial" w:hAnsi="Arial"/>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rPr>
          </w:pPr>
          <w:hyperlink w:anchor="_od7g1ptvpsx1">
            <w:r w:rsidDel="00000000" w:rsidR="00000000" w:rsidRPr="00000000">
              <w:rPr>
                <w:rFonts w:ascii="Arial" w:cs="Arial" w:eastAsia="Arial" w:hAnsi="Arial"/>
                <w:b w:val="1"/>
                <w:rtl w:val="0"/>
              </w:rPr>
              <w:t xml:space="preserve">Supplementary Table 2</w:t>
            </w:r>
          </w:hyperlink>
          <w:r w:rsidDel="00000000" w:rsidR="00000000" w:rsidRPr="00000000">
            <w:rPr>
              <w:rFonts w:ascii="Arial" w:cs="Arial" w:eastAsia="Arial" w:hAnsi="Arial"/>
              <w:b w:val="1"/>
              <w:rtl w:val="0"/>
            </w:rPr>
            <w:tab/>
          </w:r>
          <w:r w:rsidDel="00000000" w:rsidR="00000000" w:rsidRPr="00000000">
            <w:fldChar w:fldCharType="begin"/>
            <w:instrText xml:space="preserve"> PAGEREF _od7g1ptvpsx1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rPr>
          </w:pPr>
          <w:hyperlink w:anchor="_ctlwsr6fr65v">
            <w:r w:rsidDel="00000000" w:rsidR="00000000" w:rsidRPr="00000000">
              <w:rPr>
                <w:rFonts w:ascii="Arial" w:cs="Arial" w:eastAsia="Arial" w:hAnsi="Arial"/>
                <w:b w:val="1"/>
                <w:rtl w:val="0"/>
              </w:rPr>
              <w:t xml:space="preserve">Supplementary methodological details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_ctlwsr6fr65v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rPr>
          </w:pPr>
          <w:hyperlink w:anchor="_usyxnbugq5zz">
            <w:r w:rsidDel="00000000" w:rsidR="00000000" w:rsidRPr="00000000">
              <w:rPr>
                <w:rFonts w:ascii="Arial" w:cs="Arial" w:eastAsia="Arial" w:hAnsi="Arial"/>
                <w:rtl w:val="0"/>
              </w:rPr>
              <w:t xml:space="preserve">Variables measured at baseline</w:t>
            </w:r>
          </w:hyperlink>
          <w:r w:rsidDel="00000000" w:rsidR="00000000" w:rsidRPr="00000000">
            <w:rPr>
              <w:rFonts w:ascii="Arial" w:cs="Arial" w:eastAsia="Arial" w:hAnsi="Arial"/>
              <w:rtl w:val="0"/>
            </w:rPr>
            <w:tab/>
          </w:r>
          <w:r w:rsidDel="00000000" w:rsidR="00000000" w:rsidRPr="00000000">
            <w:fldChar w:fldCharType="begin"/>
            <w:instrText xml:space="preserve"> PAGEREF _usyxnbugq5zz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rPr>
          </w:pPr>
          <w:hyperlink w:anchor="_hmj42ws2dqcz">
            <w:r w:rsidDel="00000000" w:rsidR="00000000" w:rsidRPr="00000000">
              <w:rPr>
                <w:rFonts w:ascii="Arial" w:cs="Arial" w:eastAsia="Arial" w:hAnsi="Arial"/>
                <w:rtl w:val="0"/>
              </w:rPr>
              <w:t xml:space="preserve">Derivation of survey weights</w:t>
            </w:r>
          </w:hyperlink>
          <w:r w:rsidDel="00000000" w:rsidR="00000000" w:rsidRPr="00000000">
            <w:rPr>
              <w:rFonts w:ascii="Arial" w:cs="Arial" w:eastAsia="Arial" w:hAnsi="Arial"/>
              <w:rtl w:val="0"/>
            </w:rPr>
            <w:tab/>
          </w:r>
          <w:r w:rsidDel="00000000" w:rsidR="00000000" w:rsidRPr="00000000">
            <w:fldChar w:fldCharType="begin"/>
            <w:instrText xml:space="preserve"> PAGEREF _hmj42ws2dqcz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rFonts w:ascii="Arial" w:cs="Arial" w:eastAsia="Arial" w:hAnsi="Arial"/>
            </w:rPr>
          </w:pPr>
          <w:hyperlink w:anchor="_fv7ghotrn1tp">
            <w:r w:rsidDel="00000000" w:rsidR="00000000" w:rsidRPr="00000000">
              <w:rPr>
                <w:rFonts w:ascii="Arial" w:cs="Arial" w:eastAsia="Arial" w:hAnsi="Arial"/>
                <w:rtl w:val="0"/>
              </w:rPr>
              <w:t xml:space="preserve">Baseline weights</w:t>
            </w:r>
          </w:hyperlink>
          <w:r w:rsidDel="00000000" w:rsidR="00000000" w:rsidRPr="00000000">
            <w:rPr>
              <w:rFonts w:ascii="Arial" w:cs="Arial" w:eastAsia="Arial" w:hAnsi="Arial"/>
              <w:rtl w:val="0"/>
            </w:rPr>
            <w:tab/>
          </w:r>
          <w:r w:rsidDel="00000000" w:rsidR="00000000" w:rsidRPr="00000000">
            <w:fldChar w:fldCharType="begin"/>
            <w:instrText xml:space="preserve"> PAGEREF _fv7ghotrn1tp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Arial" w:cs="Arial" w:eastAsia="Arial" w:hAnsi="Arial"/>
            </w:rPr>
          </w:pPr>
          <w:hyperlink w:anchor="_77iz9h66gzsv">
            <w:r w:rsidDel="00000000" w:rsidR="00000000" w:rsidRPr="00000000">
              <w:rPr>
                <w:rFonts w:ascii="Arial" w:cs="Arial" w:eastAsia="Arial" w:hAnsi="Arial"/>
                <w:rtl w:val="0"/>
              </w:rPr>
              <w:t xml:space="preserve">Longitudinal weights</w:t>
            </w:r>
          </w:hyperlink>
          <w:r w:rsidDel="00000000" w:rsidR="00000000" w:rsidRPr="00000000">
            <w:rPr>
              <w:rFonts w:ascii="Arial" w:cs="Arial" w:eastAsia="Arial" w:hAnsi="Arial"/>
              <w:rtl w:val="0"/>
            </w:rPr>
            <w:tab/>
          </w:r>
          <w:r w:rsidDel="00000000" w:rsidR="00000000" w:rsidRPr="00000000">
            <w:fldChar w:fldCharType="begin"/>
            <w:instrText xml:space="preserve"> PAGEREF _77iz9h66gzsv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after="80" w:before="200" w:line="240" w:lineRule="auto"/>
            <w:ind w:left="0" w:firstLine="0"/>
            <w:rPr>
              <w:rFonts w:ascii="Arial" w:cs="Arial" w:eastAsia="Arial" w:hAnsi="Arial"/>
            </w:rPr>
          </w:pPr>
          <w:hyperlink w:anchor="_ak4zloakwf7f">
            <w:r w:rsidDel="00000000" w:rsidR="00000000" w:rsidRPr="00000000">
              <w:rPr>
                <w:rFonts w:ascii="Arial" w:cs="Arial" w:eastAsia="Arial" w:hAnsi="Arial"/>
                <w:b w:val="1"/>
                <w:rtl w:val="0"/>
              </w:rPr>
              <w:t xml:space="preserve">Supplementary Table 3</w:t>
            </w:r>
          </w:hyperlink>
          <w:r w:rsidDel="00000000" w:rsidR="00000000" w:rsidRPr="00000000">
            <w:rPr>
              <w:rFonts w:ascii="Arial" w:cs="Arial" w:eastAsia="Arial" w:hAnsi="Arial"/>
              <w:b w:val="1"/>
              <w:rtl w:val="0"/>
            </w:rPr>
            <w:tab/>
          </w:r>
          <w:r w:rsidDel="00000000" w:rsidR="00000000" w:rsidRPr="00000000">
            <w:fldChar w:fldCharType="begin"/>
            <w:instrText xml:space="preserve"> PAGEREF _ak4zloakwf7f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spacing w:after="240" w:before="24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yagw7c6kpul9" w:id="2"/>
      <w:bookmarkEnd w:id="2"/>
      <w:r w:rsidDel="00000000" w:rsidR="00000000" w:rsidRPr="00000000">
        <w:rPr>
          <w:rtl w:val="0"/>
        </w:rPr>
        <w:t xml:space="preserve">Supplementary Table 1</w:t>
      </w:r>
    </w:p>
    <w:p w:rsidR="00000000" w:rsidDel="00000000" w:rsidP="00000000" w:rsidRDefault="00000000" w:rsidRPr="00000000" w14:paraId="0000000F">
      <w:pPr>
        <w:rPr/>
      </w:pPr>
      <w:r w:rsidDel="00000000" w:rsidR="00000000" w:rsidRPr="00000000">
        <w:rPr>
          <w:rtl w:val="0"/>
        </w:rPr>
        <w:t xml:space="preserve">Schedule of follow-up assessment periods</w:t>
      </w:r>
    </w:p>
    <w:tbl>
      <w:tblPr>
        <w:tblStyle w:val="Table1"/>
        <w:tblW w:w="9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05"/>
        <w:gridCol w:w="1545"/>
        <w:gridCol w:w="975"/>
        <w:gridCol w:w="1980"/>
        <w:gridCol w:w="1455"/>
        <w:gridCol w:w="2700"/>
        <w:tblGridChange w:id="0">
          <w:tblGrid>
            <w:gridCol w:w="1005"/>
            <w:gridCol w:w="1545"/>
            <w:gridCol w:w="975"/>
            <w:gridCol w:w="1980"/>
            <w:gridCol w:w="1455"/>
            <w:gridCol w:w="2700"/>
          </w:tblGrid>
        </w:tblGridChange>
      </w:tblGrid>
      <w:tr>
        <w:trPr>
          <w:cantSplit w:val="0"/>
          <w:tblHeader w:val="0"/>
        </w:trPr>
        <w:tc>
          <w:tcPr>
            <w:gridSpan w:val="3"/>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0">
            <w:pPr>
              <w:spacing w:after="0" w:before="0" w:line="240" w:lineRule="auto"/>
              <w:rPr>
                <w:rFonts w:ascii="Arial" w:cs="Arial" w:eastAsia="Arial" w:hAnsi="Arial"/>
                <w:vertAlign w:val="superscript"/>
              </w:rPr>
            </w:pPr>
            <w:r w:rsidDel="00000000" w:rsidR="00000000" w:rsidRPr="00000000">
              <w:rPr>
                <w:rFonts w:ascii="Arial" w:cs="Arial" w:eastAsia="Arial" w:hAnsi="Arial"/>
                <w:rtl w:val="0"/>
              </w:rPr>
              <w:t xml:space="preserve">Date of follow-up assessment</w:t>
            </w:r>
            <w:r w:rsidDel="00000000" w:rsidR="00000000" w:rsidRPr="00000000">
              <w:rPr>
                <w:rFonts w:ascii="Arial" w:cs="Arial" w:eastAsia="Arial" w:hAnsi="Arial"/>
                <w:vertAlign w:val="superscript"/>
                <w:rtl w:val="0"/>
              </w:rPr>
              <w:t xml:space="preserve">1</w:t>
            </w:r>
          </w:p>
          <w:p w:rsidR="00000000" w:rsidDel="00000000" w:rsidP="00000000" w:rsidRDefault="00000000" w:rsidRPr="00000000" w14:paraId="00000011">
            <w:pPr>
              <w:spacing w:after="0" w:before="0" w:line="240" w:lineRule="auto"/>
              <w:rPr>
                <w:rFonts w:ascii="Arial" w:cs="Arial" w:eastAsia="Arial" w:hAnsi="Arial"/>
                <w:vertAlign w:val="superscript"/>
              </w:rPr>
            </w:pPr>
            <w:r w:rsidDel="00000000" w:rsidR="00000000" w:rsidRPr="00000000">
              <w:rPr>
                <w:rtl w:val="0"/>
              </w:rPr>
            </w:r>
          </w:p>
        </w:tc>
        <w:tc>
          <w:tcP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4">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Type of survey</w:t>
            </w:r>
          </w:p>
        </w:tc>
        <w:tc>
          <w:tcP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5">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Number responding</w:t>
            </w:r>
          </w:p>
        </w:tc>
        <w:tc>
          <w:tcP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6">
            <w:pPr>
              <w:spacing w:after="0" w:before="0" w:line="240" w:lineRule="auto"/>
              <w:jc w:val="right"/>
              <w:rPr>
                <w:rFonts w:ascii="Arial" w:cs="Arial" w:eastAsia="Arial" w:hAnsi="Arial"/>
                <w:vertAlign w:val="superscript"/>
              </w:rPr>
            </w:pPr>
            <w:r w:rsidDel="00000000" w:rsidR="00000000" w:rsidRPr="00000000">
              <w:rPr>
                <w:rFonts w:ascii="Arial" w:cs="Arial" w:eastAsia="Arial" w:hAnsi="Arial"/>
                <w:rtl w:val="0"/>
              </w:rPr>
              <w:t xml:space="preserve">Response rate</w:t>
            </w:r>
            <w:r w:rsidDel="00000000" w:rsidR="00000000" w:rsidRPr="00000000">
              <w:rPr>
                <w:rFonts w:ascii="Arial" w:cs="Arial" w:eastAsia="Arial" w:hAnsi="Arial"/>
                <w:vertAlign w:val="superscript"/>
                <w:rtl w:val="0"/>
              </w:rPr>
              <w:t xml:space="preserve">2</w:t>
            </w:r>
          </w:p>
          <w:p w:rsidR="00000000" w:rsidDel="00000000" w:rsidP="00000000" w:rsidRDefault="00000000" w:rsidRPr="00000000" w14:paraId="00000017">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w:t>
            </w:r>
          </w:p>
        </w:tc>
      </w:tr>
      <w:tr>
        <w:trPr>
          <w:cantSplit w:val="0"/>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rFonts w:ascii="Arial" w:cs="Arial" w:eastAsia="Arial" w:hAnsi="Arial"/>
              </w:rPr>
            </w:pPr>
            <w:r w:rsidDel="00000000" w:rsidR="00000000" w:rsidRPr="00000000">
              <w:rPr>
                <w:rFonts w:ascii="Arial" w:cs="Arial" w:eastAsia="Arial" w:hAnsi="Arial"/>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rFonts w:ascii="Arial" w:cs="Arial" w:eastAsia="Arial" w:hAnsi="Arial"/>
              </w:rPr>
            </w:pPr>
            <w:r w:rsidDel="00000000" w:rsidR="00000000" w:rsidRPr="00000000">
              <w:rPr>
                <w:rFonts w:ascii="Arial" w:cs="Arial" w:eastAsia="Arial" w:hAnsi="Arial"/>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rPr>
                <w:rFonts w:ascii="Arial" w:cs="Arial" w:eastAsia="Arial" w:hAnsi="Arial"/>
              </w:rPr>
            </w:pPr>
            <w:r w:rsidDel="00000000" w:rsidR="00000000" w:rsidRPr="00000000">
              <w:rPr>
                <w:rFonts w:ascii="Arial" w:cs="Arial" w:eastAsia="Arial" w:hAnsi="Arial"/>
                <w:rtl w:val="0"/>
              </w:rPr>
              <w:t xml:space="preserve">15th</w:t>
            </w:r>
          </w:p>
        </w:tc>
        <w:tc>
          <w:tcP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2241</w:t>
            </w:r>
          </w:p>
        </w:tc>
        <w:tc>
          <w:tcP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100</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rPr>
                <w:rFonts w:ascii="Arial" w:cs="Arial" w:eastAsia="Arial" w:hAnsi="Arial"/>
              </w:rPr>
            </w:pPr>
            <w:r w:rsidDel="00000000" w:rsidR="00000000" w:rsidRPr="00000000">
              <w:rPr>
                <w:rFonts w:ascii="Arial" w:cs="Arial" w:eastAsia="Arial" w:hAnsi="Arial"/>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rPr>
                <w:rFonts w:ascii="Arial" w:cs="Arial" w:eastAsia="Arial" w:hAnsi="Arial"/>
              </w:rPr>
            </w:pPr>
            <w:r w:rsidDel="00000000" w:rsidR="00000000" w:rsidRPr="00000000">
              <w:rPr>
                <w:rFonts w:ascii="Arial" w:cs="Arial" w:eastAsia="Arial" w:hAnsi="Arial"/>
                <w:rtl w:val="0"/>
              </w:rPr>
              <w:t xml:space="preserve">8th</w:t>
            </w:r>
          </w:p>
        </w:tc>
        <w:tc>
          <w:tcP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1772</w:t>
            </w:r>
          </w:p>
        </w:tc>
        <w:tc>
          <w:tcP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79</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rPr>
                <w:rFonts w:ascii="Arial" w:cs="Arial" w:eastAsia="Arial" w:hAnsi="Arial"/>
              </w:rPr>
            </w:pPr>
            <w:r w:rsidDel="00000000" w:rsidR="00000000" w:rsidRPr="00000000">
              <w:rPr>
                <w:rFonts w:ascii="Arial" w:cs="Arial" w:eastAsia="Arial" w:hAnsi="Arial"/>
                <w:rtl w:val="0"/>
              </w:rPr>
              <w:t xml:space="preserve">22nd</w:t>
            </w:r>
          </w:p>
        </w:tc>
        <w:tc>
          <w:tcP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1924</w:t>
            </w:r>
          </w:p>
        </w:tc>
        <w:tc>
          <w:tcP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86</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rFonts w:ascii="Arial" w:cs="Arial" w:eastAsia="Arial" w:hAnsi="Arial"/>
              </w:rPr>
            </w:pPr>
            <w:r w:rsidDel="00000000" w:rsidR="00000000" w:rsidRPr="00000000">
              <w:rPr>
                <w:rFonts w:ascii="Arial" w:cs="Arial" w:eastAsia="Arial" w:hAnsi="Arial"/>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rFonts w:ascii="Arial" w:cs="Arial" w:eastAsia="Arial" w:hAnsi="Arial"/>
              </w:rPr>
            </w:pPr>
            <w:r w:rsidDel="00000000" w:rsidR="00000000" w:rsidRPr="00000000">
              <w:rPr>
                <w:rFonts w:ascii="Arial" w:cs="Arial" w:eastAsia="Arial" w:hAnsi="Arial"/>
                <w:rtl w:val="0"/>
              </w:rPr>
              <w:t xml:space="preserve">5th</w:t>
            </w:r>
          </w:p>
        </w:tc>
        <w:tc>
          <w:tcP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1918</w:t>
            </w:r>
          </w:p>
        </w:tc>
        <w:tc>
          <w:tcPr>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86</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rFonts w:ascii="Arial" w:cs="Arial" w:eastAsia="Arial" w:hAnsi="Arial"/>
              </w:rPr>
            </w:pPr>
            <w:r w:rsidDel="00000000" w:rsidR="00000000" w:rsidRPr="00000000">
              <w:rPr>
                <w:rFonts w:ascii="Arial" w:cs="Arial" w:eastAsia="Arial" w:hAnsi="Arial"/>
                <w:rtl w:val="0"/>
              </w:rPr>
              <w:t xml:space="preserve">19th</w:t>
            </w:r>
          </w:p>
        </w:tc>
        <w:tc>
          <w:tcPr>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1958</w:t>
            </w:r>
          </w:p>
        </w:tc>
        <w:tc>
          <w:tcPr>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87</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rFonts w:ascii="Arial" w:cs="Arial" w:eastAsia="Arial" w:hAnsi="Arial"/>
              </w:rPr>
            </w:pPr>
            <w:r w:rsidDel="00000000" w:rsidR="00000000" w:rsidRPr="00000000">
              <w:rPr>
                <w:rFonts w:ascii="Arial" w:cs="Arial" w:eastAsia="Arial" w:hAnsi="Arial"/>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rFonts w:ascii="Arial" w:cs="Arial" w:eastAsia="Arial" w:hAnsi="Arial"/>
              </w:rPr>
            </w:pPr>
            <w:r w:rsidDel="00000000" w:rsidR="00000000" w:rsidRPr="00000000">
              <w:rPr>
                <w:rFonts w:ascii="Arial" w:cs="Arial" w:eastAsia="Arial" w:hAnsi="Arial"/>
                <w:rtl w:val="0"/>
              </w:rPr>
              <w:t xml:space="preserve">3rd</w:t>
            </w:r>
          </w:p>
        </w:tc>
        <w:tc>
          <w:tcPr>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1927</w:t>
            </w:r>
          </w:p>
        </w:tc>
        <w:tc>
          <w:tcPr>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86</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rPr>
                <w:rFonts w:ascii="Arial" w:cs="Arial" w:eastAsia="Arial" w:hAnsi="Arial"/>
              </w:rPr>
            </w:pPr>
            <w:r w:rsidDel="00000000" w:rsidR="00000000" w:rsidRPr="00000000">
              <w:rPr>
                <w:rFonts w:ascii="Arial" w:cs="Arial" w:eastAsia="Arial" w:hAnsi="Arial"/>
                <w:rtl w:val="0"/>
              </w:rPr>
              <w:t xml:space="preserve">17th</w:t>
            </w:r>
          </w:p>
        </w:tc>
        <w:tc>
          <w:tcPr>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1812</w:t>
            </w:r>
          </w:p>
        </w:tc>
        <w:tc>
          <w:tcPr>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81</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rPr>
                <w:rFonts w:ascii="Arial" w:cs="Arial" w:eastAsia="Arial" w:hAnsi="Arial"/>
              </w:rPr>
            </w:pPr>
            <w:r w:rsidDel="00000000" w:rsidR="00000000" w:rsidRPr="00000000">
              <w:rPr>
                <w:rFonts w:ascii="Arial" w:cs="Arial" w:eastAsia="Arial" w:hAnsi="Arial"/>
                <w:rtl w:val="0"/>
              </w:rPr>
              <w:t xml:space="preserve">31st</w:t>
            </w:r>
          </w:p>
        </w:tc>
        <w:tc>
          <w:tcP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1759</w:t>
            </w:r>
          </w:p>
        </w:tc>
        <w:tc>
          <w:tcP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78</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rFonts w:ascii="Arial" w:cs="Arial" w:eastAsia="Arial" w:hAnsi="Arial"/>
              </w:rPr>
            </w:pPr>
            <w:r w:rsidDel="00000000" w:rsidR="00000000" w:rsidRPr="00000000">
              <w:rPr>
                <w:rFonts w:ascii="Arial" w:cs="Arial" w:eastAsia="Arial" w:hAnsi="Arial"/>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rFonts w:ascii="Arial" w:cs="Arial" w:eastAsia="Arial" w:hAnsi="Arial"/>
              </w:rPr>
            </w:pPr>
            <w:r w:rsidDel="00000000" w:rsidR="00000000" w:rsidRPr="00000000">
              <w:rPr>
                <w:rFonts w:ascii="Arial" w:cs="Arial" w:eastAsia="Arial" w:hAnsi="Arial"/>
                <w:rtl w:val="0"/>
              </w:rPr>
              <w:t xml:space="preserve">14th</w:t>
            </w:r>
          </w:p>
        </w:tc>
        <w:tc>
          <w:tcP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1641</w:t>
            </w:r>
          </w:p>
        </w:tc>
        <w:tc>
          <w:tcP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73</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rFonts w:ascii="Arial" w:cs="Arial" w:eastAsia="Arial" w:hAnsi="Arial"/>
              </w:rPr>
            </w:pPr>
            <w:r w:rsidDel="00000000" w:rsidR="00000000" w:rsidRPr="00000000">
              <w:rPr>
                <w:rFonts w:ascii="Arial" w:cs="Arial" w:eastAsia="Arial" w:hAnsi="Arial"/>
                <w:rtl w:val="0"/>
              </w:rPr>
              <w:t xml:space="preserve">28th</w:t>
            </w:r>
          </w:p>
        </w:tc>
        <w:tc>
          <w:tcP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1741</w:t>
            </w:r>
          </w:p>
        </w:tc>
        <w:tc>
          <w:tcPr>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78</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rPr>
                <w:rFonts w:ascii="Arial" w:cs="Arial" w:eastAsia="Arial" w:hAnsi="Arial"/>
              </w:rPr>
            </w:pPr>
            <w:r w:rsidDel="00000000" w:rsidR="00000000" w:rsidRPr="00000000">
              <w:rPr>
                <w:rFonts w:ascii="Arial" w:cs="Arial" w:eastAsia="Arial" w:hAnsi="Arial"/>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rPr>
                <w:rFonts w:ascii="Arial" w:cs="Arial" w:eastAsia="Arial" w:hAnsi="Arial"/>
              </w:rPr>
            </w:pPr>
            <w:r w:rsidDel="00000000" w:rsidR="00000000" w:rsidRPr="00000000">
              <w:rPr>
                <w:rFonts w:ascii="Arial" w:cs="Arial" w:eastAsia="Arial" w:hAnsi="Arial"/>
                <w:rtl w:val="0"/>
              </w:rPr>
              <w:t xml:space="preserve">11th</w:t>
            </w:r>
          </w:p>
        </w:tc>
        <w:tc>
          <w:tcPr>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1757</w:t>
            </w:r>
          </w:p>
        </w:tc>
        <w:tc>
          <w:tcPr>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78</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rPr>
                <w:rFonts w:ascii="Arial" w:cs="Arial" w:eastAsia="Arial" w:hAnsi="Arial"/>
              </w:rPr>
            </w:pPr>
            <w:r w:rsidDel="00000000" w:rsidR="00000000" w:rsidRPr="00000000">
              <w:rPr>
                <w:rFonts w:ascii="Arial" w:cs="Arial" w:eastAsia="Arial" w:hAnsi="Arial"/>
                <w:rtl w:val="0"/>
              </w:rPr>
              <w:t xml:space="preserve">25th</w:t>
            </w:r>
          </w:p>
        </w:tc>
        <w:tc>
          <w:tcPr>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1773</w:t>
            </w:r>
          </w:p>
        </w:tc>
        <w:tc>
          <w:tcPr>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79</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rPr>
                <w:rFonts w:ascii="Arial" w:cs="Arial" w:eastAsia="Arial" w:hAnsi="Arial"/>
              </w:rPr>
            </w:pPr>
            <w:r w:rsidDel="00000000" w:rsidR="00000000" w:rsidRPr="00000000">
              <w:rPr>
                <w:rFonts w:ascii="Arial" w:cs="Arial" w:eastAsia="Arial" w:hAnsi="Arial"/>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rPr>
                <w:rFonts w:ascii="Arial" w:cs="Arial" w:eastAsia="Arial" w:hAnsi="Arial"/>
              </w:rPr>
            </w:pPr>
            <w:r w:rsidDel="00000000" w:rsidR="00000000" w:rsidRPr="00000000">
              <w:rPr>
                <w:rFonts w:ascii="Arial" w:cs="Arial" w:eastAsia="Arial" w:hAnsi="Arial"/>
                <w:rtl w:val="0"/>
              </w:rPr>
              <w:t xml:space="preserve">9th</w:t>
            </w:r>
          </w:p>
        </w:tc>
        <w:tc>
          <w:tcPr>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1664</w:t>
            </w:r>
          </w:p>
        </w:tc>
        <w:tc>
          <w:tcP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74</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rFonts w:ascii="Arial" w:cs="Arial" w:eastAsia="Arial" w:hAnsi="Arial"/>
              </w:rPr>
            </w:pPr>
            <w:r w:rsidDel="00000000" w:rsidR="00000000" w:rsidRPr="00000000">
              <w:rPr>
                <w:rFonts w:ascii="Arial" w:cs="Arial" w:eastAsia="Arial" w:hAnsi="Arial"/>
                <w:rtl w:val="0"/>
              </w:rPr>
              <w:t xml:space="preserve">23rd</w:t>
            </w:r>
          </w:p>
        </w:tc>
        <w:tc>
          <w:tcP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1686</w:t>
            </w:r>
          </w:p>
        </w:tc>
        <w:tc>
          <w:tcP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75</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rFonts w:ascii="Arial" w:cs="Arial" w:eastAsia="Arial" w:hAnsi="Arial"/>
              </w:rPr>
            </w:pPr>
            <w:r w:rsidDel="00000000" w:rsidR="00000000" w:rsidRPr="00000000">
              <w:rPr>
                <w:rFonts w:ascii="Arial" w:cs="Arial" w:eastAsia="Arial" w:hAnsi="Arial"/>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rFonts w:ascii="Arial" w:cs="Arial" w:eastAsia="Arial" w:hAnsi="Arial"/>
              </w:rPr>
            </w:pPr>
            <w:r w:rsidDel="00000000" w:rsidR="00000000" w:rsidRPr="00000000">
              <w:rPr>
                <w:rFonts w:ascii="Arial" w:cs="Arial" w:eastAsia="Arial" w:hAnsi="Arial"/>
                <w:rtl w:val="0"/>
              </w:rPr>
              <w:t xml:space="preserve">6th</w:t>
            </w:r>
          </w:p>
        </w:tc>
        <w:tc>
          <w:tcP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1703</w:t>
            </w:r>
          </w:p>
        </w:tc>
        <w:tc>
          <w:tcPr>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76</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rPr>
                <w:rFonts w:ascii="Arial" w:cs="Arial" w:eastAsia="Arial" w:hAnsi="Arial"/>
              </w:rPr>
            </w:pPr>
            <w:r w:rsidDel="00000000" w:rsidR="00000000" w:rsidRPr="00000000">
              <w:rPr>
                <w:rFonts w:ascii="Arial" w:cs="Arial" w:eastAsia="Arial" w:hAnsi="Arial"/>
                <w:rtl w:val="0"/>
              </w:rPr>
              <w:t xml:space="preserve">20th</w:t>
            </w:r>
          </w:p>
        </w:tc>
        <w:tc>
          <w:tcP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1696</w:t>
            </w:r>
          </w:p>
        </w:tc>
        <w:tc>
          <w:tcPr>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76</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rPr>
                <w:rFonts w:ascii="Arial" w:cs="Arial" w:eastAsia="Arial" w:hAnsi="Arial"/>
              </w:rPr>
            </w:pPr>
            <w:r w:rsidDel="00000000" w:rsidR="00000000" w:rsidRPr="00000000">
              <w:rPr>
                <w:rFonts w:ascii="Arial" w:cs="Arial" w:eastAsia="Arial" w:hAnsi="Arial"/>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rPr>
                <w:rFonts w:ascii="Arial" w:cs="Arial" w:eastAsia="Arial" w:hAnsi="Arial"/>
              </w:rPr>
            </w:pPr>
            <w:r w:rsidDel="00000000" w:rsidR="00000000" w:rsidRPr="00000000">
              <w:rPr>
                <w:rFonts w:ascii="Arial" w:cs="Arial" w:eastAsia="Arial" w:hAnsi="Arial"/>
                <w:rtl w:val="0"/>
              </w:rPr>
              <w:t xml:space="preserve">4th</w:t>
            </w:r>
          </w:p>
        </w:tc>
        <w:tc>
          <w:tcPr>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1749</w:t>
            </w:r>
          </w:p>
        </w:tc>
        <w:tc>
          <w:tcPr>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78</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rPr>
                <w:rFonts w:ascii="Arial" w:cs="Arial" w:eastAsia="Arial" w:hAnsi="Arial"/>
              </w:rPr>
            </w:pPr>
            <w:r w:rsidDel="00000000" w:rsidR="00000000" w:rsidRPr="00000000">
              <w:rPr>
                <w:rFonts w:ascii="Arial" w:cs="Arial" w:eastAsia="Arial" w:hAnsi="Arial"/>
                <w:rtl w:val="0"/>
              </w:rPr>
              <w:t xml:space="preserve">18th</w:t>
            </w:r>
          </w:p>
        </w:tc>
        <w:tc>
          <w:tcPr>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1542</w:t>
            </w:r>
          </w:p>
        </w:tc>
        <w:tc>
          <w:tcPr>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69</w:t>
            </w:r>
          </w:p>
        </w:tc>
      </w:tr>
      <w:tr>
        <w:trPr>
          <w:cantSplit w:val="0"/>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rFonts w:ascii="Arial" w:cs="Arial" w:eastAsia="Arial" w:hAnsi="Arial"/>
              </w:rPr>
            </w:pPr>
            <w:r w:rsidDel="00000000" w:rsidR="00000000" w:rsidRPr="00000000">
              <w:rPr>
                <w:rFonts w:ascii="Arial" w:cs="Arial" w:eastAsia="Arial" w:hAnsi="Arial"/>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rPr>
                <w:rFonts w:ascii="Arial" w:cs="Arial" w:eastAsia="Arial" w:hAnsi="Arial"/>
              </w:rPr>
            </w:pPr>
            <w:r w:rsidDel="00000000" w:rsidR="00000000" w:rsidRPr="00000000">
              <w:rPr>
                <w:rFonts w:ascii="Arial" w:cs="Arial" w:eastAsia="Arial" w:hAnsi="Arial"/>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rPr>
                <w:rFonts w:ascii="Arial" w:cs="Arial" w:eastAsia="Arial" w:hAnsi="Arial"/>
              </w:rPr>
            </w:pPr>
            <w:r w:rsidDel="00000000" w:rsidR="00000000" w:rsidRPr="00000000">
              <w:rPr>
                <w:rFonts w:ascii="Arial" w:cs="Arial" w:eastAsia="Arial" w:hAnsi="Arial"/>
                <w:rtl w:val="0"/>
              </w:rPr>
              <w:t xml:space="preserve">1st</w:t>
            </w:r>
          </w:p>
        </w:tc>
        <w:tc>
          <w:tcPr>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1564</w:t>
            </w:r>
          </w:p>
        </w:tc>
        <w:tc>
          <w:tcP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70</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rPr>
                <w:rFonts w:ascii="Arial" w:cs="Arial" w:eastAsia="Arial" w:hAnsi="Arial"/>
              </w:rPr>
            </w:pPr>
            <w:r w:rsidDel="00000000" w:rsidR="00000000" w:rsidRPr="00000000">
              <w:rPr>
                <w:rFonts w:ascii="Arial" w:cs="Arial" w:eastAsia="Arial" w:hAnsi="Arial"/>
                <w:rtl w:val="0"/>
              </w:rPr>
              <w:t xml:space="preserve">15th</w:t>
            </w:r>
          </w:p>
        </w:tc>
        <w:tc>
          <w:tcP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1661</w:t>
            </w:r>
          </w:p>
        </w:tc>
        <w:tc>
          <w:tcP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74</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rPr>
                <w:rFonts w:ascii="Arial" w:cs="Arial" w:eastAsia="Arial" w:hAnsi="Arial"/>
              </w:rPr>
            </w:pPr>
            <w:r w:rsidDel="00000000" w:rsidR="00000000" w:rsidRPr="00000000">
              <w:rPr>
                <w:rFonts w:ascii="Arial" w:cs="Arial" w:eastAsia="Arial" w:hAnsi="Arial"/>
                <w:rtl w:val="0"/>
              </w:rPr>
              <w:t xml:space="preserve">29th</w:t>
            </w:r>
          </w:p>
        </w:tc>
        <w:tc>
          <w:tcP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1662</w:t>
            </w:r>
          </w:p>
        </w:tc>
        <w:tc>
          <w:tcPr>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74</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rPr>
                <w:rFonts w:ascii="Arial" w:cs="Arial" w:eastAsia="Arial" w:hAnsi="Arial"/>
              </w:rPr>
            </w:pPr>
            <w:r w:rsidDel="00000000" w:rsidR="00000000" w:rsidRPr="00000000">
              <w:rPr>
                <w:rFonts w:ascii="Arial" w:cs="Arial" w:eastAsia="Arial" w:hAnsi="Arial"/>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rPr>
                <w:rFonts w:ascii="Arial" w:cs="Arial" w:eastAsia="Arial" w:hAnsi="Arial"/>
              </w:rPr>
            </w:pPr>
            <w:r w:rsidDel="00000000" w:rsidR="00000000" w:rsidRPr="00000000">
              <w:rPr>
                <w:rFonts w:ascii="Arial" w:cs="Arial" w:eastAsia="Arial" w:hAnsi="Arial"/>
                <w:rtl w:val="0"/>
              </w:rPr>
              <w:t xml:space="preserve">12th</w:t>
            </w:r>
          </w:p>
        </w:tc>
        <w:tc>
          <w:tcPr>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1607</w:t>
            </w:r>
          </w:p>
        </w:tc>
        <w:tc>
          <w:tcPr>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72</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rPr>
                <w:rFonts w:ascii="Arial" w:cs="Arial" w:eastAsia="Arial" w:hAnsi="Arial"/>
              </w:rPr>
            </w:pPr>
            <w:r w:rsidDel="00000000" w:rsidR="00000000" w:rsidRPr="00000000">
              <w:rPr>
                <w:rFonts w:ascii="Arial" w:cs="Arial" w:eastAsia="Arial" w:hAnsi="Arial"/>
                <w:rtl w:val="0"/>
              </w:rPr>
              <w:t xml:space="preserve">26th</w:t>
            </w:r>
          </w:p>
        </w:tc>
        <w:tc>
          <w:tcPr>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1625</w:t>
            </w:r>
          </w:p>
        </w:tc>
        <w:tc>
          <w:tcPr>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73</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spacing w:after="0" w:before="0" w:line="240" w:lineRule="auto"/>
              <w:rPr>
                <w:rFonts w:ascii="Arial" w:cs="Arial" w:eastAsia="Arial" w:hAnsi="Arial"/>
              </w:rPr>
            </w:pPr>
            <w:r w:rsidDel="00000000" w:rsidR="00000000" w:rsidRPr="00000000">
              <w:rPr>
                <w:rFonts w:ascii="Arial" w:cs="Arial" w:eastAsia="Arial" w:hAnsi="Arial"/>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rPr>
                <w:rFonts w:ascii="Arial" w:cs="Arial" w:eastAsia="Arial" w:hAnsi="Arial"/>
              </w:rPr>
            </w:pPr>
            <w:r w:rsidDel="00000000" w:rsidR="00000000" w:rsidRPr="00000000">
              <w:rPr>
                <w:rFonts w:ascii="Arial" w:cs="Arial" w:eastAsia="Arial" w:hAnsi="Arial"/>
                <w:rtl w:val="0"/>
              </w:rPr>
              <w:t xml:space="preserve">12th</w:t>
            </w:r>
          </w:p>
        </w:tc>
        <w:tc>
          <w:tcPr>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1598</w:t>
            </w:r>
          </w:p>
        </w:tc>
        <w:tc>
          <w:tcPr>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71</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rPr>
                <w:rFonts w:ascii="Arial" w:cs="Arial" w:eastAsia="Arial" w:hAnsi="Arial"/>
              </w:rPr>
            </w:pPr>
            <w:r w:rsidDel="00000000" w:rsidR="00000000" w:rsidRPr="00000000">
              <w:rPr>
                <w:rFonts w:ascii="Arial" w:cs="Arial" w:eastAsia="Arial" w:hAnsi="Arial"/>
                <w:rtl w:val="0"/>
              </w:rPr>
              <w:t xml:space="preserve">26th</w:t>
            </w:r>
          </w:p>
        </w:tc>
        <w:tc>
          <w:tcP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1554</w:t>
            </w:r>
          </w:p>
        </w:tc>
        <w:tc>
          <w:tcPr>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69</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rFonts w:ascii="Arial" w:cs="Arial" w:eastAsia="Arial" w:hAnsi="Arial"/>
              </w:rPr>
            </w:pPr>
            <w:r w:rsidDel="00000000" w:rsidR="00000000" w:rsidRPr="00000000">
              <w:rPr>
                <w:rFonts w:ascii="Arial" w:cs="Arial" w:eastAsia="Arial" w:hAnsi="Arial"/>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rFonts w:ascii="Arial" w:cs="Arial" w:eastAsia="Arial" w:hAnsi="Arial"/>
              </w:rPr>
            </w:pPr>
            <w:r w:rsidDel="00000000" w:rsidR="00000000" w:rsidRPr="00000000">
              <w:rPr>
                <w:rFonts w:ascii="Arial" w:cs="Arial" w:eastAsia="Arial" w:hAnsi="Arial"/>
                <w:rtl w:val="0"/>
              </w:rPr>
              <w:t xml:space="preserve">9th</w:t>
            </w:r>
          </w:p>
        </w:tc>
        <w:tc>
          <w:tcP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1492</w:t>
            </w:r>
          </w:p>
        </w:tc>
        <w:tc>
          <w:tcP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67</w:t>
            </w:r>
          </w:p>
        </w:tc>
      </w:tr>
      <w:tr>
        <w:trPr>
          <w:cantSplit w:val="0"/>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ind w:left="0" w:firstLine="0"/>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rFonts w:ascii="Arial" w:cs="Arial" w:eastAsia="Arial" w:hAnsi="Aria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rPr>
                <w:rFonts w:ascii="Arial" w:cs="Arial" w:eastAsia="Arial" w:hAnsi="Arial"/>
              </w:rPr>
            </w:pPr>
            <w:r w:rsidDel="00000000" w:rsidR="00000000" w:rsidRPr="00000000">
              <w:rPr>
                <w:rFonts w:ascii="Arial" w:cs="Arial" w:eastAsia="Arial" w:hAnsi="Arial"/>
                <w:rtl w:val="0"/>
              </w:rPr>
              <w:t xml:space="preserve">23rd</w:t>
            </w:r>
          </w:p>
        </w:tc>
        <w:tc>
          <w:tcP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1442</w:t>
            </w:r>
          </w:p>
        </w:tc>
        <w:tc>
          <w:tcPr>
            <w:tcMar>
              <w:top w:w="100.0" w:type="dxa"/>
              <w:left w:w="100.0" w:type="dxa"/>
              <w:bottom w:w="100.0" w:type="dxa"/>
              <w:right w:w="100.0" w:type="dxa"/>
            </w:tcMar>
            <w:vAlign w:val="top"/>
          </w:tcPr>
          <w:p w:rsidR="00000000" w:rsidDel="00000000" w:rsidP="00000000" w:rsidRDefault="00000000" w:rsidRPr="00000000" w14:paraId="000000B9">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64</w:t>
            </w:r>
          </w:p>
        </w:tc>
      </w:tr>
    </w:tbl>
    <w:p w:rsidR="00000000" w:rsidDel="00000000" w:rsidP="00000000" w:rsidRDefault="00000000" w:rsidRPr="00000000" w14:paraId="000000BA">
      <w:pPr>
        <w:spacing w:after="240" w:before="240" w:line="360" w:lineRule="auto"/>
        <w:rPr>
          <w:rFonts w:ascii="Georgia" w:cs="Georgia" w:eastAsia="Georgia" w:hAnsi="Georgia"/>
          <w:i w:val="1"/>
        </w:rPr>
      </w:pPr>
      <w:r w:rsidDel="00000000" w:rsidR="00000000" w:rsidRPr="00000000">
        <w:rPr>
          <w:rFonts w:ascii="Georgia" w:cs="Georgia" w:eastAsia="Georgia" w:hAnsi="Georgia"/>
          <w:i w:val="1"/>
          <w:rtl w:val="0"/>
        </w:rPr>
        <w:t xml:space="preserve">Notes.</w:t>
      </w:r>
    </w:p>
    <w:p w:rsidR="00000000" w:rsidDel="00000000" w:rsidP="00000000" w:rsidRDefault="00000000" w:rsidRPr="00000000" w14:paraId="000000BB">
      <w:pPr>
        <w:spacing w:after="240" w:before="240" w:line="360" w:lineRule="auto"/>
        <w:rPr>
          <w:rFonts w:ascii="Georgia" w:cs="Georgia" w:eastAsia="Georgia" w:hAnsi="Georgia"/>
        </w:rPr>
      </w:pPr>
      <w:r w:rsidDel="00000000" w:rsidR="00000000" w:rsidRPr="00000000">
        <w:rPr>
          <w:rFonts w:ascii="Georgia" w:cs="Georgia" w:eastAsia="Georgia" w:hAnsi="Georgia"/>
          <w:vertAlign w:val="superscript"/>
          <w:rtl w:val="0"/>
        </w:rPr>
        <w:t xml:space="preserve">1</w:t>
      </w:r>
      <w:r w:rsidDel="00000000" w:rsidR="00000000" w:rsidRPr="00000000">
        <w:rPr>
          <w:rFonts w:ascii="Georgia" w:cs="Georgia" w:eastAsia="Georgia" w:hAnsi="Georgia"/>
          <w:rtl w:val="0"/>
        </w:rPr>
        <w:t xml:space="preserve"> Surveys were sent out in two batches over a two week period. This date represents the midpoint of the period.</w:t>
      </w:r>
    </w:p>
    <w:p w:rsidR="00000000" w:rsidDel="00000000" w:rsidP="00000000" w:rsidRDefault="00000000" w:rsidRPr="00000000" w14:paraId="000000BC">
      <w:pPr>
        <w:spacing w:after="240" w:before="240" w:line="360" w:lineRule="auto"/>
        <w:rPr>
          <w:rFonts w:ascii="Georgia" w:cs="Georgia" w:eastAsia="Georgia" w:hAnsi="Georgia"/>
        </w:rPr>
      </w:pPr>
      <w:r w:rsidDel="00000000" w:rsidR="00000000" w:rsidRPr="00000000">
        <w:rPr>
          <w:rFonts w:ascii="Georgia" w:cs="Georgia" w:eastAsia="Georgia" w:hAnsi="Georgia"/>
          <w:vertAlign w:val="superscript"/>
          <w:rtl w:val="0"/>
        </w:rPr>
        <w:t xml:space="preserve">2</w:t>
      </w:r>
      <w:r w:rsidDel="00000000" w:rsidR="00000000" w:rsidRPr="00000000">
        <w:rPr>
          <w:rFonts w:ascii="Georgia" w:cs="Georgia" w:eastAsia="Georgia" w:hAnsi="Georgia"/>
          <w:rtl w:val="0"/>
        </w:rPr>
        <w:t xml:space="preserve"> Response rate (%) relative to the number of participants in the analytical sample who responded at baseline (n = 2241).</w:t>
      </w:r>
    </w:p>
    <w:p w:rsidR="00000000" w:rsidDel="00000000" w:rsidP="00000000" w:rsidRDefault="00000000" w:rsidRPr="00000000" w14:paraId="000000BD">
      <w:pPr>
        <w:spacing w:after="240" w:before="240" w:line="360" w:lineRule="auto"/>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rPr/>
      </w:pPr>
      <w:bookmarkStart w:colFirst="0" w:colLast="0" w:name="_od7g1ptvpsx1" w:id="3"/>
      <w:bookmarkEnd w:id="3"/>
      <w:r w:rsidDel="00000000" w:rsidR="00000000" w:rsidRPr="00000000">
        <w:rPr>
          <w:b w:val="1"/>
          <w:rtl w:val="0"/>
        </w:rPr>
        <w:t xml:space="preserve">Supplementary Table 2</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Model fit statistics for different numbers of latent classes; GMM models (n=2241)</w:t>
      </w:r>
    </w:p>
    <w:tbl>
      <w:tblPr>
        <w:tblStyle w:val="Table2"/>
        <w:tblW w:w="9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75"/>
        <w:gridCol w:w="960"/>
        <w:gridCol w:w="1110"/>
        <w:gridCol w:w="995.0000000000006"/>
        <w:gridCol w:w="939.9999999999994"/>
        <w:gridCol w:w="765"/>
        <w:gridCol w:w="930"/>
        <w:gridCol w:w="960"/>
        <w:gridCol w:w="1185"/>
        <w:tblGridChange w:id="0">
          <w:tblGrid>
            <w:gridCol w:w="1275"/>
            <w:gridCol w:w="960"/>
            <w:gridCol w:w="1110"/>
            <w:gridCol w:w="995.0000000000006"/>
            <w:gridCol w:w="939.9999999999994"/>
            <w:gridCol w:w="765"/>
            <w:gridCol w:w="930"/>
            <w:gridCol w:w="960"/>
            <w:gridCol w:w="1185"/>
          </w:tblGrid>
        </w:tblGridChange>
      </w:tblGrid>
      <w:tr>
        <w:trPr>
          <w:cantSplit w:val="0"/>
          <w:trHeight w:val="53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0">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Outcome</w:t>
            </w:r>
          </w:p>
        </w:tc>
        <w:tc>
          <w:tcPr>
            <w:tcMar>
              <w:top w:w="100.0" w:type="dxa"/>
              <w:left w:w="100.0" w:type="dxa"/>
              <w:bottom w:w="100.0" w:type="dxa"/>
              <w:right w:w="100.0" w:type="dxa"/>
            </w:tcMar>
            <w:vAlign w:val="top"/>
          </w:tcPr>
          <w:p w:rsidR="00000000" w:rsidDel="00000000" w:rsidP="00000000" w:rsidRDefault="00000000" w:rsidRPr="00000000" w14:paraId="000000C1">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classes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jc w:val="right"/>
              <w:rPr>
                <w:rFonts w:ascii="Arial" w:cs="Arial" w:eastAsia="Arial" w:hAnsi="Arial"/>
                <w:sz w:val="20"/>
                <w:szCs w:val="20"/>
                <w:vertAlign w:val="superscript"/>
              </w:rPr>
            </w:pPr>
            <w:r w:rsidDel="00000000" w:rsidR="00000000" w:rsidRPr="00000000">
              <w:rPr>
                <w:rFonts w:ascii="Arial" w:cs="Arial" w:eastAsia="Arial" w:hAnsi="Arial"/>
                <w:b w:val="1"/>
                <w:sz w:val="20"/>
                <w:szCs w:val="20"/>
                <w:rtl w:val="0"/>
              </w:rPr>
              <w:t xml:space="preserve">-2LL</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3">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Δ</w:t>
            </w:r>
          </w:p>
        </w:tc>
        <w:tc>
          <w:tcPr>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AIC</w:t>
            </w:r>
          </w:p>
        </w:tc>
        <w:tc>
          <w:tcPr>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Δ</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SABIC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7">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Δ</w:t>
            </w:r>
            <w:r w:rsidDel="00000000" w:rsidR="00000000" w:rsidRPr="00000000">
              <w:rPr>
                <w:rFonts w:ascii="Arial" w:cs="Arial" w:eastAsia="Arial" w:hAnsi="Arial"/>
                <w:sz w:val="20"/>
                <w:szCs w:val="20"/>
                <w:vertAlign w:val="superscript"/>
                <w:rtl w:val="0"/>
              </w:rPr>
              <w:t xml:space="preserve">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LMR p-value</w:t>
            </w:r>
          </w:p>
        </w:tc>
      </w:tr>
      <w:tr>
        <w:trPr>
          <w:cantSplit w:val="0"/>
          <w:trHeight w:val="53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Anxiety (GAD-7)</w:t>
            </w:r>
          </w:p>
        </w:tc>
        <w:tc>
          <w:tcPr>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216537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216631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E">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216750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0">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1">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0.630</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216225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-312</w:t>
            </w:r>
          </w:p>
        </w:tc>
        <w:tc>
          <w:tcPr>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216329</w:t>
            </w:r>
          </w:p>
        </w:tc>
        <w:tc>
          <w:tcPr>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216461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-289</w:t>
            </w:r>
          </w:p>
        </w:tc>
        <w:tc>
          <w:tcPr>
            <w:tcMar>
              <w:top w:w="100.0" w:type="dxa"/>
              <w:left w:w="100.0" w:type="dxa"/>
              <w:bottom w:w="100.0" w:type="dxa"/>
              <w:right w:w="100.0" w:type="dxa"/>
            </w:tcMar>
            <w:vAlign w:val="top"/>
          </w:tcPr>
          <w:p w:rsidR="00000000" w:rsidDel="00000000" w:rsidP="00000000" w:rsidRDefault="00000000" w:rsidRPr="00000000" w14:paraId="000000DA">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0.815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215980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-245</w:t>
            </w:r>
          </w:p>
        </w:tc>
        <w:tc>
          <w:tcPr>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216094</w:t>
            </w:r>
          </w:p>
        </w:tc>
        <w:tc>
          <w:tcPr>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216239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0.374</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215758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215882</w:t>
            </w:r>
          </w:p>
        </w:tc>
        <w:tc>
          <w:tcPr>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216040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-199</w:t>
            </w:r>
          </w:p>
        </w:tc>
        <w:tc>
          <w:tcPr>
            <w:tcMar>
              <w:top w:w="100.0" w:type="dxa"/>
              <w:left w:w="100.0" w:type="dxa"/>
              <w:bottom w:w="100.0" w:type="dxa"/>
              <w:right w:w="100.0" w:type="dxa"/>
            </w:tcMar>
            <w:vAlign w:val="top"/>
          </w:tcPr>
          <w:p w:rsidR="00000000" w:rsidDel="00000000" w:rsidP="00000000" w:rsidRDefault="00000000" w:rsidRPr="00000000" w14:paraId="000000EC">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0.755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215541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-217</w:t>
            </w:r>
          </w:p>
        </w:tc>
        <w:tc>
          <w:tcP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215675</w:t>
            </w:r>
          </w:p>
        </w:tc>
        <w:tc>
          <w:tcPr>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215845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-195</w:t>
            </w:r>
          </w:p>
        </w:tc>
        <w:tc>
          <w:tcPr>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0.738</w:t>
            </w:r>
          </w:p>
        </w:tc>
      </w:tr>
      <w:tr>
        <w:trPr>
          <w:cantSplit w:val="0"/>
          <w:trHeight w:val="53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Depression (PHQ-9)</w:t>
            </w:r>
          </w:p>
        </w:tc>
        <w:tc>
          <w:tcPr>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216614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216708</w:t>
            </w:r>
          </w:p>
        </w:tc>
        <w:tc>
          <w:tcP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216827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0.285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216264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-350</w:t>
            </w:r>
          </w:p>
        </w:tc>
        <w:tc>
          <w:tcPr>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216368</w:t>
            </w:r>
          </w:p>
        </w:tc>
        <w:tc>
          <w:tcPr>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216500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-327</w:t>
            </w:r>
          </w:p>
        </w:tc>
        <w:tc>
          <w:tcPr>
            <w:tcMar>
              <w:top w:w="100.0" w:type="dxa"/>
              <w:left w:w="100.0" w:type="dxa"/>
              <w:bottom w:w="100.0" w:type="dxa"/>
              <w:right w:w="100.0" w:type="dxa"/>
            </w:tcMar>
            <w:vAlign w:val="top"/>
          </w:tcPr>
          <w:p w:rsidR="00000000" w:rsidDel="00000000" w:rsidP="00000000" w:rsidRDefault="00000000" w:rsidRPr="00000000" w14:paraId="00000107">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0.757</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215957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-307</w:t>
            </w:r>
          </w:p>
        </w:tc>
        <w:tc>
          <w:tcPr>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216071</w:t>
            </w:r>
          </w:p>
        </w:tc>
        <w:tc>
          <w:tcPr>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216215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-285</w:t>
            </w:r>
          </w:p>
        </w:tc>
        <w:tc>
          <w:tcPr>
            <w:tcMar>
              <w:top w:w="100.0" w:type="dxa"/>
              <w:left w:w="100.0" w:type="dxa"/>
              <w:bottom w:w="100.0" w:type="dxa"/>
              <w:right w:w="100.0" w:type="dxa"/>
            </w:tcMar>
            <w:vAlign w:val="top"/>
          </w:tcPr>
          <w:p w:rsidR="00000000" w:rsidDel="00000000" w:rsidP="00000000" w:rsidRDefault="00000000" w:rsidRPr="00000000" w14:paraId="00000110">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0.788</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2">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3">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215686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4">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-271</w:t>
            </w:r>
          </w:p>
        </w:tc>
        <w:tc>
          <w:tcPr>
            <w:tcMar>
              <w:top w:w="100.0" w:type="dxa"/>
              <w:left w:w="100.0" w:type="dxa"/>
              <w:bottom w:w="100.0" w:type="dxa"/>
              <w:right w:w="100.0" w:type="dxa"/>
            </w:tcMar>
            <w:vAlign w:val="top"/>
          </w:tcPr>
          <w:p w:rsidR="00000000" w:rsidDel="00000000" w:rsidP="00000000" w:rsidRDefault="00000000" w:rsidRPr="00000000" w14:paraId="00000115">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215810</w:t>
            </w:r>
          </w:p>
        </w:tc>
        <w:tc>
          <w:tcPr>
            <w:tcMar>
              <w:top w:w="100.0" w:type="dxa"/>
              <w:left w:w="100.0" w:type="dxa"/>
              <w:bottom w:w="100.0" w:type="dxa"/>
              <w:right w:w="100.0" w:type="dxa"/>
            </w:tcMar>
            <w:vAlign w:val="top"/>
          </w:tcPr>
          <w:p w:rsidR="00000000" w:rsidDel="00000000" w:rsidP="00000000" w:rsidRDefault="00000000" w:rsidRPr="00000000" w14:paraId="00000116">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215967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-248</w:t>
            </w:r>
          </w:p>
        </w:tc>
        <w:tc>
          <w:tcPr>
            <w:tcMar>
              <w:top w:w="100.0" w:type="dxa"/>
              <w:left w:w="100.0" w:type="dxa"/>
              <w:bottom w:w="100.0" w:type="dxa"/>
              <w:right w:w="100.0" w:type="dxa"/>
            </w:tcMar>
            <w:vAlign w:val="top"/>
          </w:tcPr>
          <w:p w:rsidR="00000000" w:rsidDel="00000000" w:rsidP="00000000" w:rsidRDefault="00000000" w:rsidRPr="00000000" w14:paraId="00000119">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0.759</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B">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C">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215476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D">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-210</w:t>
            </w:r>
          </w:p>
        </w:tc>
        <w:tc>
          <w:tcPr>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215610</w:t>
            </w:r>
          </w:p>
        </w:tc>
        <w:tc>
          <w:tcPr>
            <w:tcMar>
              <w:top w:w="100.0" w:type="dxa"/>
              <w:left w:w="100.0" w:type="dxa"/>
              <w:bottom w:w="100.0" w:type="dxa"/>
              <w:right w:w="100.0" w:type="dxa"/>
            </w:tcMar>
            <w:vAlign w:val="top"/>
          </w:tcPr>
          <w:p w:rsidR="00000000" w:rsidDel="00000000" w:rsidP="00000000" w:rsidRDefault="00000000" w:rsidRPr="00000000" w14:paraId="0000011F">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0">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215780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1">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-187</w:t>
            </w:r>
          </w:p>
        </w:tc>
        <w:tc>
          <w:tcPr>
            <w:tcMar>
              <w:top w:w="100.0" w:type="dxa"/>
              <w:left w:w="100.0" w:type="dxa"/>
              <w:bottom w:w="100.0" w:type="dxa"/>
              <w:right w:w="100.0" w:type="dxa"/>
            </w:tcMar>
            <w:vAlign w:val="top"/>
          </w:tcPr>
          <w:p w:rsidR="00000000" w:rsidDel="00000000" w:rsidP="00000000" w:rsidRDefault="00000000" w:rsidRPr="00000000" w14:paraId="00000122">
            <w:pPr>
              <w:spacing w:after="0" w:before="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0.808</w:t>
            </w:r>
          </w:p>
        </w:tc>
      </w:tr>
    </w:tbl>
    <w:p w:rsidR="00000000" w:rsidDel="00000000" w:rsidP="00000000" w:rsidRDefault="00000000" w:rsidRPr="00000000" w14:paraId="00000123">
      <w:pPr>
        <w:spacing w:after="240" w:before="240" w:line="360" w:lineRule="auto"/>
        <w:rPr>
          <w:rFonts w:ascii="Georgia" w:cs="Georgia" w:eastAsia="Georgia" w:hAnsi="Georgia"/>
          <w:i w:val="1"/>
        </w:rPr>
      </w:pPr>
      <w:r w:rsidDel="00000000" w:rsidR="00000000" w:rsidRPr="00000000">
        <w:rPr>
          <w:rFonts w:ascii="Georgia" w:cs="Georgia" w:eastAsia="Georgia" w:hAnsi="Georgia"/>
          <w:i w:val="1"/>
          <w:rtl w:val="0"/>
        </w:rPr>
        <w:t xml:space="preserve">Notes.</w:t>
      </w:r>
    </w:p>
    <w:p w:rsidR="00000000" w:rsidDel="00000000" w:rsidP="00000000" w:rsidRDefault="00000000" w:rsidRPr="00000000" w14:paraId="0000012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AIC = Akaike information criterion</w:t>
      </w:r>
    </w:p>
    <w:p w:rsidR="00000000" w:rsidDel="00000000" w:rsidP="00000000" w:rsidRDefault="00000000" w:rsidRPr="00000000" w14:paraId="0000012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aBIC = sample size adjusted </w:t>
      </w:r>
    </w:p>
    <w:p w:rsidR="00000000" w:rsidDel="00000000" w:rsidP="00000000" w:rsidRDefault="00000000" w:rsidRPr="00000000" w14:paraId="0000012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SABIC = sample size adjusted Bayesian information criterion </w:t>
      </w:r>
    </w:p>
    <w:p w:rsidR="00000000" w:rsidDel="00000000" w:rsidP="00000000" w:rsidRDefault="00000000" w:rsidRPr="00000000" w14:paraId="0000012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-2LL = </w:t>
      </w:r>
      <w:r w:rsidDel="00000000" w:rsidR="00000000" w:rsidRPr="00000000">
        <w:rPr>
          <w:rFonts w:ascii="Georgia" w:cs="Georgia" w:eastAsia="Georgia" w:hAnsi="Georgia"/>
          <w:sz w:val="20"/>
          <w:szCs w:val="20"/>
          <w:vertAlign w:val="superscript"/>
          <w:rtl w:val="0"/>
        </w:rPr>
        <w:t xml:space="preserve"> </w:t>
      </w:r>
      <w:r w:rsidDel="00000000" w:rsidR="00000000" w:rsidRPr="00000000">
        <w:rPr>
          <w:rFonts w:ascii="Georgia" w:cs="Georgia" w:eastAsia="Georgia" w:hAnsi="Georgia"/>
          <w:sz w:val="20"/>
          <w:szCs w:val="20"/>
          <w:rtl w:val="0"/>
        </w:rPr>
        <w:t xml:space="preserve">-2 × log-likelihood (-2LL), where lower values indicate better relative model fit</w:t>
      </w:r>
    </w:p>
    <w:p w:rsidR="00000000" w:rsidDel="00000000" w:rsidP="00000000" w:rsidRDefault="00000000" w:rsidRPr="00000000" w14:paraId="00000128">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Δ =</w:t>
      </w:r>
      <w:r w:rsidDel="00000000" w:rsidR="00000000" w:rsidRPr="00000000">
        <w:rPr>
          <w:rFonts w:ascii="Georgia" w:cs="Georgia" w:eastAsia="Georgia" w:hAnsi="Georgia"/>
          <w:sz w:val="20"/>
          <w:szCs w:val="20"/>
          <w:vertAlign w:val="superscript"/>
          <w:rtl w:val="0"/>
        </w:rPr>
        <w:t xml:space="preserve"> </w:t>
      </w:r>
      <w:r w:rsidDel="00000000" w:rsidR="00000000" w:rsidRPr="00000000">
        <w:rPr>
          <w:rFonts w:ascii="Georgia" w:cs="Georgia" w:eastAsia="Georgia" w:hAnsi="Georgia"/>
          <w:sz w:val="20"/>
          <w:szCs w:val="20"/>
          <w:rtl w:val="0"/>
        </w:rPr>
        <w:t xml:space="preserve">Change in relative model fit between the current model and a model with one fewer classes</w:t>
      </w:r>
    </w:p>
    <w:p w:rsidR="00000000" w:rsidDel="00000000" w:rsidP="00000000" w:rsidRDefault="00000000" w:rsidRPr="00000000" w14:paraId="0000012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LMR p-value = P-value for the Vong-Lo-Mendell-Rubin likelihood ratio test, where a value of p &lt; 0.05 indicates an improvement in model fit compared to a model with one fewer classes</w:t>
      </w:r>
    </w:p>
    <w:p w:rsidR="00000000" w:rsidDel="00000000" w:rsidP="00000000" w:rsidRDefault="00000000" w:rsidRPr="00000000" w14:paraId="0000012A">
      <w:pPr>
        <w:rPr>
          <w:rFonts w:ascii="Georgia" w:cs="Georgia" w:eastAsia="Georgia" w:hAnsi="Georgia"/>
        </w:rPr>
      </w:pPr>
      <w:r w:rsidDel="00000000" w:rsidR="00000000" w:rsidRPr="00000000">
        <w:rPr>
          <w:rtl w:val="0"/>
        </w:rPr>
      </w:r>
    </w:p>
    <w:p w:rsidR="00000000" w:rsidDel="00000000" w:rsidP="00000000" w:rsidRDefault="00000000" w:rsidRPr="00000000" w14:paraId="0000012B">
      <w:pPr>
        <w:spacing w:after="240" w:before="240" w:line="360" w:lineRule="auto"/>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rPr/>
      </w:pPr>
      <w:bookmarkStart w:colFirst="0" w:colLast="0" w:name="_ctlwsr6fr65v" w:id="4"/>
      <w:bookmarkEnd w:id="4"/>
      <w:r w:rsidDel="00000000" w:rsidR="00000000" w:rsidRPr="00000000">
        <w:rPr>
          <w:rtl w:val="0"/>
        </w:rPr>
        <w:t xml:space="preserve">Supplementary methodological details</w:t>
      </w:r>
    </w:p>
    <w:p w:rsidR="00000000" w:rsidDel="00000000" w:rsidP="00000000" w:rsidRDefault="00000000" w:rsidRPr="00000000" w14:paraId="0000012D">
      <w:pPr>
        <w:pStyle w:val="Heading2"/>
        <w:pBdr>
          <w:bottom w:color="auto" w:space="0" w:sz="0" w:val="none"/>
        </w:pBdr>
        <w:spacing w:after="120" w:before="240" w:line="240" w:lineRule="auto"/>
        <w:rPr>
          <w:rFonts w:ascii="Arial" w:cs="Arial" w:eastAsia="Arial" w:hAnsi="Arial"/>
          <w:b w:val="0"/>
          <w:sz w:val="24"/>
          <w:szCs w:val="24"/>
        </w:rPr>
      </w:pPr>
      <w:bookmarkStart w:colFirst="0" w:colLast="0" w:name="_usyxnbugq5zz" w:id="5"/>
      <w:bookmarkEnd w:id="5"/>
      <w:r w:rsidDel="00000000" w:rsidR="00000000" w:rsidRPr="00000000">
        <w:rPr>
          <w:rFonts w:ascii="Arial" w:cs="Arial" w:eastAsia="Arial" w:hAnsi="Arial"/>
          <w:b w:val="0"/>
          <w:sz w:val="24"/>
          <w:szCs w:val="24"/>
          <w:rtl w:val="0"/>
        </w:rPr>
        <w:t xml:space="preserve">Variables measured at baseline</w:t>
      </w:r>
    </w:p>
    <w:p w:rsidR="00000000" w:rsidDel="00000000" w:rsidP="00000000" w:rsidRDefault="00000000" w:rsidRPr="00000000" w14:paraId="0000012E">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Variables reported by participants in the baseline questionnaire include: (1) demographic characteristics (age, gender, ethnicity, partnership status, living arrangements); (2) health status (chronic health conditions, shielding, previous mental health diagnosis), (3) caring roles (children at home, young children, other caring responsibilities); and (4) occupational role and key worker status. </w:t>
      </w:r>
    </w:p>
    <w:p w:rsidR="00000000" w:rsidDel="00000000" w:rsidP="00000000" w:rsidRDefault="00000000" w:rsidRPr="00000000" w14:paraId="0000012F">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Demographic characteristics</w:t>
      </w:r>
      <w:r w:rsidDel="00000000" w:rsidR="00000000" w:rsidRPr="00000000">
        <w:rPr>
          <w:rFonts w:ascii="Georgia" w:cs="Georgia" w:eastAsia="Georgia" w:hAnsi="Georgia"/>
          <w:rtl w:val="0"/>
        </w:rPr>
        <w:t xml:space="preserve"> included continuous age, gender, ethnicity, partnership status, living arrangements, and housing tenure. Gender was reported as ‘Female’, ‘Male’, ‘Other’, or ‘Prefer not to say’. Due to small cell counts (&lt;0.5%), responses of ‘Other’ and ‘Prefer not to say’ were randomly allocated to ‘Female’ or ‘Male’, based on sample proportions. Ethnic</w:t>
      </w:r>
      <w:r w:rsidDel="00000000" w:rsidR="00000000" w:rsidRPr="00000000">
        <w:rPr>
          <w:rtl w:val="0"/>
        </w:rPr>
        <w:t xml:space="preserve">ity</w:t>
      </w:r>
      <w:r w:rsidDel="00000000" w:rsidR="00000000" w:rsidRPr="00000000">
        <w:rPr>
          <w:rFonts w:ascii="Georgia" w:cs="Georgia" w:eastAsia="Georgia" w:hAnsi="Georgia"/>
          <w:rtl w:val="0"/>
        </w:rPr>
        <w:t xml:space="preserve"> was coded into five categories following recommendations of the Office for National Statistics </w:t>
      </w:r>
      <w:hyperlink r:id="rId7">
        <w:r w:rsidDel="00000000" w:rsidR="00000000" w:rsidRPr="00000000">
          <w:rPr>
            <w:rFonts w:ascii="Georgia" w:cs="Georgia" w:eastAsia="Georgia" w:hAnsi="Georgia"/>
            <w:vertAlign w:val="baseline"/>
            <w:rtl w:val="0"/>
          </w:rPr>
          <w:t xml:space="preserve">[1]</w:t>
        </w:r>
      </w:hyperlink>
      <w:r w:rsidDel="00000000" w:rsidR="00000000" w:rsidRPr="00000000">
        <w:rPr>
          <w:rFonts w:ascii="Georgia" w:cs="Georgia" w:eastAsia="Georgia" w:hAnsi="Georgia"/>
          <w:rtl w:val="0"/>
        </w:rPr>
        <w:t xml:space="preserve">: White, Mixed, Asian (‘Asian’ or ‘Asian British’), Black (‘Black’, ‘African’, ‘Caribbean’, ‘Black British’) or Other (‘Other ethnic group’). Partnership status was categorised as ‘Single’, ‘Divorced, separated, widowed’, or ‘Civil partnership, married, cohabiting, non-cohabiting’. Living arrangements (“Which of the following best describes your current living arrangement?”) were dichotomised as ‘Living alone’ vs. ‘living with others.’ Housing tenure was dichotomised as any ‘renting’ category vs. all other categories (‘Privately owned’, ‘Buying with the help of a mortgage or loan’, ‘Live rent-free’, or ‘Shared ownership’).</w:t>
      </w:r>
    </w:p>
    <w:p w:rsidR="00000000" w:rsidDel="00000000" w:rsidP="00000000" w:rsidRDefault="00000000" w:rsidRPr="00000000" w14:paraId="00000130">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Health status</w:t>
      </w:r>
      <w:r w:rsidDel="00000000" w:rsidR="00000000" w:rsidRPr="00000000">
        <w:rPr>
          <w:rFonts w:ascii="Georgia" w:cs="Georgia" w:eastAsia="Georgia" w:hAnsi="Georgia"/>
          <w:rtl w:val="0"/>
        </w:rPr>
        <w:t xml:space="preserve"> included self-reported chronic health conditions (at least one reported condition vs. none); whether or not the participant was ‘Currently shielding’ (defined as “a type of self-isolation, which involves not leaving your home for any reason for at least 12 weeks to reduce your risk of contracting COVID-19”; Yes/No); and prior diagnosis by health professional of (4) depression (‘Depression’) or anxiety disorder (‘Generalised anxiety disorder,’ ‘Panic attacks’ or ‘Post-traumatic stress disorder’) (Yes/No). </w:t>
      </w:r>
    </w:p>
    <w:p w:rsidR="00000000" w:rsidDel="00000000" w:rsidP="00000000" w:rsidRDefault="00000000" w:rsidRPr="00000000" w14:paraId="00000131">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Caring roles</w:t>
      </w:r>
      <w:r w:rsidDel="00000000" w:rsidR="00000000" w:rsidRPr="00000000">
        <w:rPr>
          <w:rFonts w:ascii="Georgia" w:cs="Georgia" w:eastAsia="Georgia" w:hAnsi="Georgia"/>
          <w:rtl w:val="0"/>
        </w:rPr>
        <w:t xml:space="preserve"> included the number of children living at home (0, 1, 2, 3+), having children under the age of 6 (Yes/No), and whether the participant had any other dependents or caring responsibilities (“Do you have any other dependents or caring responsibilities?”; Yes/No).</w:t>
      </w:r>
    </w:p>
    <w:p w:rsidR="00000000" w:rsidDel="00000000" w:rsidP="00000000" w:rsidRDefault="00000000" w:rsidRPr="00000000" w14:paraId="00000132">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Occupational factors</w:t>
      </w:r>
      <w:r w:rsidDel="00000000" w:rsidR="00000000" w:rsidRPr="00000000">
        <w:rPr>
          <w:rFonts w:ascii="Georgia" w:cs="Georgia" w:eastAsia="Georgia" w:hAnsi="Georgia"/>
          <w:rtl w:val="0"/>
        </w:rPr>
        <w:t xml:space="preserve"> included </w:t>
      </w:r>
      <w:r w:rsidDel="00000000" w:rsidR="00000000" w:rsidRPr="00000000">
        <w:rPr>
          <w:rFonts w:ascii="Georgia" w:cs="Georgia" w:eastAsia="Georgia" w:hAnsi="Georgia"/>
          <w:rtl w:val="0"/>
        </w:rPr>
        <w:t xml:space="preserve">role</w:t>
      </w:r>
      <w:r w:rsidDel="00000000" w:rsidR="00000000" w:rsidRPr="00000000">
        <w:rPr>
          <w:rFonts w:ascii="Georgia" w:cs="Georgia" w:eastAsia="Georgia" w:hAnsi="Georgia"/>
          <w:rtl w:val="0"/>
        </w:rPr>
        <w:t xml:space="preserve"> and key worker status. Occupational </w:t>
      </w:r>
      <w:r w:rsidDel="00000000" w:rsidR="00000000" w:rsidRPr="00000000">
        <w:rPr>
          <w:rFonts w:ascii="Georgia" w:cs="Georgia" w:eastAsia="Georgia" w:hAnsi="Georgia"/>
          <w:rtl w:val="0"/>
        </w:rPr>
        <w:t xml:space="preserve">role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was</w:t>
      </w:r>
      <w:r w:rsidDel="00000000" w:rsidR="00000000" w:rsidRPr="00000000">
        <w:rPr>
          <w:rFonts w:ascii="Georgia" w:cs="Georgia" w:eastAsia="Georgia" w:hAnsi="Georgia"/>
          <w:rtl w:val="0"/>
        </w:rPr>
        <w:t xml:space="preserve"> categorised as ‘Academic, specialist and management’, ‘Research, clerical and technical’, ‘Teaching, facilities and clinical’, or ‘PGR student’. These categories were chosen to reflect seniority and the degree of contact with the public. </w:t>
      </w:r>
      <w:r w:rsidDel="00000000" w:rsidR="00000000" w:rsidRPr="00000000">
        <w:rPr>
          <w:rFonts w:ascii="Gungsuh" w:cs="Gungsuh" w:eastAsia="Gungsuh" w:hAnsi="Gungsuh"/>
          <w:rtl w:val="0"/>
        </w:rPr>
        <w:t xml:space="preserve">A small number of participants (≈4%) reported both staff and PGR roles. These participants were categorised based on their staff role. Key workers were identified with a </w:t>
      </w:r>
      <w:r w:rsidDel="00000000" w:rsidR="00000000" w:rsidRPr="00000000">
        <w:rPr>
          <w:rFonts w:ascii="Georgia" w:cs="Georgia" w:eastAsia="Georgia" w:hAnsi="Georgia"/>
          <w:rtl w:val="0"/>
        </w:rPr>
        <w:t xml:space="preserve">binary variable (“Are you currently fulfilling a </w:t>
      </w:r>
      <w:r w:rsidDel="00000000" w:rsidR="00000000" w:rsidRPr="00000000">
        <w:rPr>
          <w:rtl w:val="0"/>
        </w:rPr>
        <w:t xml:space="preserve">‘</w:t>
      </w:r>
      <w:r w:rsidDel="00000000" w:rsidR="00000000" w:rsidRPr="00000000">
        <w:rPr>
          <w:rFonts w:ascii="Georgia" w:cs="Georgia" w:eastAsia="Georgia" w:hAnsi="Georgia"/>
          <w:rtl w:val="0"/>
        </w:rPr>
        <w:t xml:space="preserve">key worker’ role as identified by the government?”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3">
      <w:pPr>
        <w:pStyle w:val="Heading2"/>
        <w:rPr/>
      </w:pPr>
      <w:bookmarkStart w:colFirst="0" w:colLast="0" w:name="_hmj42ws2dqcz" w:id="6"/>
      <w:bookmarkEnd w:id="6"/>
      <w:r w:rsidDel="00000000" w:rsidR="00000000" w:rsidRPr="00000000">
        <w:rPr>
          <w:rtl w:val="0"/>
        </w:rPr>
        <w:t xml:space="preserve">Derivation of survey weights</w:t>
      </w:r>
    </w:p>
    <w:p w:rsidR="00000000" w:rsidDel="00000000" w:rsidP="00000000" w:rsidRDefault="00000000" w:rsidRPr="00000000" w14:paraId="00000134">
      <w:pPr>
        <w:pStyle w:val="Heading3"/>
        <w:rPr/>
      </w:pPr>
      <w:bookmarkStart w:colFirst="0" w:colLast="0" w:name="_fv7ghotrn1tp" w:id="7"/>
      <w:bookmarkEnd w:id="7"/>
      <w:r w:rsidDel="00000000" w:rsidR="00000000" w:rsidRPr="00000000">
        <w:rPr>
          <w:rtl w:val="0"/>
        </w:rPr>
        <w:t xml:space="preserve">Baseline weights</w:t>
      </w:r>
    </w:p>
    <w:p w:rsidR="00000000" w:rsidDel="00000000" w:rsidP="00000000" w:rsidRDefault="00000000" w:rsidRPr="00000000" w14:paraId="00000135">
      <w:pPr>
        <w:rPr/>
      </w:pPr>
      <w:r w:rsidDel="00000000" w:rsidR="00000000" w:rsidRPr="00000000">
        <w:rPr>
          <w:rtl w:val="0"/>
        </w:rPr>
        <w:t xml:space="preserve">A baseline weight was derived to adjust for </w:t>
      </w:r>
      <w:r w:rsidDel="00000000" w:rsidR="00000000" w:rsidRPr="00000000">
        <w:rPr>
          <w:rtl w:val="0"/>
        </w:rPr>
        <w:t xml:space="preserve">differences in age, gender, and ethnicity between the baseline cohort and the target population (all KCL staff and PGRs). Information on age group, gender, and ethnicity for the target population were extracted from centrally-held administrative records. For staff and PGR students </w:t>
      </w:r>
      <w:r w:rsidDel="00000000" w:rsidR="00000000" w:rsidRPr="00000000">
        <w:rPr>
          <w:rtl w:val="0"/>
        </w:rPr>
        <w:t xml:space="preserve">separately</w:t>
      </w:r>
      <w:r w:rsidDel="00000000" w:rsidR="00000000" w:rsidRPr="00000000">
        <w:rPr>
          <w:rtl w:val="0"/>
        </w:rPr>
        <w:t xml:space="preserve">:</w:t>
      </w:r>
    </w:p>
    <w:p w:rsidR="00000000" w:rsidDel="00000000" w:rsidP="00000000" w:rsidRDefault="00000000" w:rsidRPr="00000000" w14:paraId="00000136">
      <w:pPr>
        <w:numPr>
          <w:ilvl w:val="0"/>
          <w:numId w:val="3"/>
        </w:numPr>
        <w:spacing w:after="0" w:afterAutospacing="0"/>
        <w:ind w:left="720" w:hanging="360"/>
        <w:rPr>
          <w:u w:val="none"/>
        </w:rPr>
      </w:pPr>
      <w:r w:rsidDel="00000000" w:rsidR="00000000" w:rsidRPr="00000000">
        <w:rPr>
          <w:rtl w:val="0"/>
        </w:rPr>
        <w:t xml:space="preserve">We harmonised the categories in administrative records with those measured in the survey.</w:t>
      </w:r>
    </w:p>
    <w:p w:rsidR="00000000" w:rsidDel="00000000" w:rsidP="00000000" w:rsidRDefault="00000000" w:rsidRPr="00000000" w14:paraId="00000137">
      <w:pPr>
        <w:numPr>
          <w:ilvl w:val="0"/>
          <w:numId w:val="3"/>
        </w:numPr>
        <w:spacing w:after="0" w:afterAutospacing="0" w:before="0" w:beforeAutospacing="0"/>
        <w:ind w:left="720" w:hanging="360"/>
        <w:rPr>
          <w:u w:val="none"/>
        </w:rPr>
      </w:pPr>
      <w:r w:rsidDel="00000000" w:rsidR="00000000" w:rsidRPr="00000000">
        <w:rPr>
          <w:rtl w:val="0"/>
        </w:rPr>
        <w:t xml:space="preserve">Missing information in the survey data (for age group, gender, and ethnicity) was imputed with k-nearest neighbours (with k=5 nearest neighbours) using the kNN function from the VIM </w:t>
      </w:r>
      <w:hyperlink r:id="rId8">
        <w:r w:rsidDel="00000000" w:rsidR="00000000" w:rsidRPr="00000000">
          <w:rPr>
            <w:vertAlign w:val="baseline"/>
            <w:rtl w:val="0"/>
          </w:rPr>
          <w:t xml:space="preserve">[2]</w:t>
        </w:r>
      </w:hyperlink>
      <w:r w:rsidDel="00000000" w:rsidR="00000000" w:rsidRPr="00000000">
        <w:rPr>
          <w:rtl w:val="0"/>
        </w:rPr>
        <w:t xml:space="preserve"> </w:t>
      </w:r>
      <w:r w:rsidDel="00000000" w:rsidR="00000000" w:rsidRPr="00000000">
        <w:rPr>
          <w:rtl w:val="0"/>
        </w:rPr>
        <w:t xml:space="preserve">package for R </w:t>
      </w:r>
      <w:hyperlink r:id="rId9">
        <w:r w:rsidDel="00000000" w:rsidR="00000000" w:rsidRPr="00000000">
          <w:rPr>
            <w:vertAlign w:val="baseline"/>
            <w:rtl w:val="0"/>
          </w:rPr>
          <w:t xml:space="preserve">[3]</w:t>
        </w:r>
      </w:hyperlink>
      <w:r w:rsidDel="00000000" w:rsidR="00000000" w:rsidRPr="00000000">
        <w:rPr>
          <w:rtl w:val="0"/>
        </w:rPr>
        <w:t xml:space="preserve">.</w:t>
      </w:r>
    </w:p>
    <w:p w:rsidR="00000000" w:rsidDel="00000000" w:rsidP="00000000" w:rsidRDefault="00000000" w:rsidRPr="00000000" w14:paraId="00000138">
      <w:pPr>
        <w:numPr>
          <w:ilvl w:val="0"/>
          <w:numId w:val="3"/>
        </w:numPr>
        <w:spacing w:after="0" w:afterAutospacing="0" w:before="0" w:beforeAutospacing="0"/>
        <w:ind w:left="720" w:hanging="360"/>
        <w:rPr>
          <w:u w:val="none"/>
        </w:rPr>
      </w:pPr>
      <w:r w:rsidDel="00000000" w:rsidR="00000000" w:rsidRPr="00000000">
        <w:rPr>
          <w:rtl w:val="0"/>
        </w:rPr>
        <w:t xml:space="preserve">Weights (W) were derived based on age group, gender, and ethnicity using raking (iterative proportional fitting) using the rake function of the survey package </w:t>
      </w:r>
      <w:hyperlink r:id="rId10">
        <w:r w:rsidDel="00000000" w:rsidR="00000000" w:rsidRPr="00000000">
          <w:rPr>
            <w:vertAlign w:val="baseline"/>
            <w:rtl w:val="0"/>
          </w:rPr>
          <w:t xml:space="preserve">[4]</w:t>
        </w:r>
      </w:hyperlink>
      <w:r w:rsidDel="00000000" w:rsidR="00000000" w:rsidRPr="00000000">
        <w:rPr>
          <w:rtl w:val="0"/>
        </w:rPr>
        <w:t xml:space="preserve"> for R.</w:t>
      </w:r>
    </w:p>
    <w:p w:rsidR="00000000" w:rsidDel="00000000" w:rsidP="00000000" w:rsidRDefault="00000000" w:rsidRPr="00000000" w14:paraId="00000139">
      <w:pPr>
        <w:numPr>
          <w:ilvl w:val="0"/>
          <w:numId w:val="3"/>
        </w:numPr>
        <w:spacing w:before="0" w:beforeAutospacing="0"/>
        <w:ind w:left="720" w:hanging="360"/>
        <w:rPr>
          <w:u w:val="none"/>
        </w:rPr>
      </w:pPr>
      <w:r w:rsidDel="00000000" w:rsidR="00000000" w:rsidRPr="00000000">
        <w:rPr>
          <w:rtl w:val="0"/>
        </w:rPr>
        <w:t xml:space="preserve">Extreme weights were trimmed to W</w:t>
      </w:r>
      <w:r w:rsidDel="00000000" w:rsidR="00000000" w:rsidRPr="00000000">
        <w:rPr>
          <w:vertAlign w:val="subscript"/>
          <w:rtl w:val="0"/>
        </w:rPr>
        <w:t xml:space="preserve">T</w:t>
      </w:r>
      <w:r w:rsidDel="00000000" w:rsidR="00000000" w:rsidRPr="00000000">
        <w:rPr>
          <w:rtl w:val="0"/>
        </w:rPr>
        <w:t xml:space="preserve">, such that any weight larger than W</w:t>
      </w:r>
      <w:r w:rsidDel="00000000" w:rsidR="00000000" w:rsidRPr="00000000">
        <w:rPr>
          <w:vertAlign w:val="subscript"/>
          <w:rtl w:val="0"/>
        </w:rPr>
        <w:t xml:space="preserve">T</w:t>
      </w:r>
      <w:r w:rsidDel="00000000" w:rsidR="00000000" w:rsidRPr="00000000">
        <w:rPr>
          <w:rtl w:val="0"/>
        </w:rPr>
        <w:t xml:space="preserve"> was replaced with W</w:t>
      </w:r>
      <w:r w:rsidDel="00000000" w:rsidR="00000000" w:rsidRPr="00000000">
        <w:rPr>
          <w:vertAlign w:val="subscript"/>
          <w:rtl w:val="0"/>
        </w:rPr>
        <w:t xml:space="preserve">T</w:t>
      </w:r>
      <w:r w:rsidDel="00000000" w:rsidR="00000000" w:rsidRPr="00000000">
        <w:rPr>
          <w:rtl w:val="0"/>
        </w:rPr>
        <w:t xml:space="preserve">, where </w:t>
      </w:r>
      <w:r w:rsidDel="00000000" w:rsidR="00000000" w:rsidRPr="00000000">
        <w:rPr>
          <w:rtl w:val="0"/>
        </w:rPr>
        <w:t xml:space="preserve">W</w:t>
      </w:r>
      <w:r w:rsidDel="00000000" w:rsidR="00000000" w:rsidRPr="00000000">
        <w:rPr>
          <w:vertAlign w:val="subscript"/>
          <w:rtl w:val="0"/>
        </w:rPr>
        <w:t xml:space="preserve">T</w:t>
      </w:r>
      <w:r w:rsidDel="00000000" w:rsidR="00000000" w:rsidRPr="00000000">
        <w:rPr>
          <w:rtl w:val="0"/>
        </w:rPr>
        <w:t xml:space="preserve"> = median(W) + (5 * IQR(W)) and IQR = inter quartile range.</w:t>
      </w:r>
    </w:p>
    <w:p w:rsidR="00000000" w:rsidDel="00000000" w:rsidP="00000000" w:rsidRDefault="00000000" w:rsidRPr="00000000" w14:paraId="0000013A">
      <w:pPr>
        <w:rPr/>
      </w:pPr>
      <w:r w:rsidDel="00000000" w:rsidR="00000000" w:rsidRPr="00000000">
        <w:rPr>
          <w:rtl w:val="0"/>
        </w:rPr>
        <w:t xml:space="preserve">To combine weights for staff and PGR students, we scaled the trimmed weights such that the weights had a mean of 1 and summed to the total sample size (of staff and PGR students, respectively).</w:t>
      </w:r>
    </w:p>
    <w:p w:rsidR="00000000" w:rsidDel="00000000" w:rsidP="00000000" w:rsidRDefault="00000000" w:rsidRPr="00000000" w14:paraId="0000013B">
      <w:pPr>
        <w:pStyle w:val="Heading3"/>
        <w:rPr/>
      </w:pPr>
      <w:bookmarkStart w:colFirst="0" w:colLast="0" w:name="_77iz9h66gzsv" w:id="8"/>
      <w:bookmarkEnd w:id="8"/>
      <w:r w:rsidDel="00000000" w:rsidR="00000000" w:rsidRPr="00000000">
        <w:rPr>
          <w:rtl w:val="0"/>
        </w:rPr>
        <w:t xml:space="preserve">Longitudinal weights</w:t>
      </w:r>
    </w:p>
    <w:p w:rsidR="00000000" w:rsidDel="00000000" w:rsidP="00000000" w:rsidRDefault="00000000" w:rsidRPr="00000000" w14:paraId="0000013C">
      <w:pPr>
        <w:rPr/>
      </w:pPr>
      <w:r w:rsidDel="00000000" w:rsidR="00000000" w:rsidRPr="00000000">
        <w:rPr>
          <w:rtl w:val="0"/>
        </w:rPr>
        <w:t xml:space="preserve">Longitudinal weights were derived to adjust for differences in non-response at each follow-up survey by clinical and sociodemographic variables. Separately at each follow-up survey, we:</w:t>
      </w:r>
    </w:p>
    <w:p w:rsidR="00000000" w:rsidDel="00000000" w:rsidP="00000000" w:rsidRDefault="00000000" w:rsidRPr="00000000" w14:paraId="0000013D">
      <w:pPr>
        <w:keepNext w:val="1"/>
        <w:keepLines w:val="1"/>
        <w:numPr>
          <w:ilvl w:val="0"/>
          <w:numId w:val="2"/>
        </w:numPr>
        <w:spacing w:after="0" w:afterAutospacing="0"/>
        <w:ind w:left="720" w:hanging="360"/>
        <w:rPr>
          <w:u w:val="none"/>
        </w:rPr>
      </w:pPr>
      <w:r w:rsidDel="00000000" w:rsidR="00000000" w:rsidRPr="00000000">
        <w:rPr>
          <w:rtl w:val="0"/>
        </w:rPr>
        <w:t xml:space="preserve">Derived an indicator of response status (1 = responded to this survey; 0 = did not respond).</w:t>
      </w:r>
    </w:p>
    <w:p w:rsidR="00000000" w:rsidDel="00000000" w:rsidP="00000000" w:rsidRDefault="00000000" w:rsidRPr="00000000" w14:paraId="0000013E">
      <w:pPr>
        <w:numPr>
          <w:ilvl w:val="0"/>
          <w:numId w:val="2"/>
        </w:numPr>
        <w:spacing w:after="0" w:afterAutospacing="0" w:before="0" w:beforeAutospacing="0"/>
        <w:ind w:left="720" w:hanging="360"/>
        <w:rPr>
          <w:u w:val="none"/>
        </w:rPr>
      </w:pPr>
      <w:r w:rsidDel="00000000" w:rsidR="00000000" w:rsidRPr="00000000">
        <w:rPr>
          <w:rtl w:val="0"/>
        </w:rPr>
        <w:t xml:space="preserve">Fitted a multivariable binary logistic regression model with LASSO (least absolute shrinkage and selection operator) regularisation. The model included as features: baseline measures of continuous age, gender (female/male), ethnic group (five categories, as in the main paper), relationship status (as in the main paper), presence of a chronic condition (yes/no), housing tenure (renting vs. other), whether the respondent had any children at home (yes/no), and role (staff vs. PGR student). Optimal lambda was selected with 10-fold cross-validation. Models were estimated using the glmnet </w:t>
      </w:r>
      <w:hyperlink r:id="rId11">
        <w:r w:rsidDel="00000000" w:rsidR="00000000" w:rsidRPr="00000000">
          <w:rPr>
            <w:vertAlign w:val="baseline"/>
            <w:rtl w:val="0"/>
          </w:rPr>
          <w:t xml:space="preserve">[5]</w:t>
        </w:r>
      </w:hyperlink>
      <w:r w:rsidDel="00000000" w:rsidR="00000000" w:rsidRPr="00000000">
        <w:rPr>
          <w:rtl w:val="0"/>
        </w:rPr>
        <w:t xml:space="preserve"> </w:t>
      </w:r>
      <w:r w:rsidDel="00000000" w:rsidR="00000000" w:rsidRPr="00000000">
        <w:rPr>
          <w:rtl w:val="0"/>
        </w:rPr>
        <w:t xml:space="preserve">package in R.</w:t>
      </w:r>
    </w:p>
    <w:p w:rsidR="00000000" w:rsidDel="00000000" w:rsidP="00000000" w:rsidRDefault="00000000" w:rsidRPr="00000000" w14:paraId="0000013F">
      <w:pPr>
        <w:numPr>
          <w:ilvl w:val="0"/>
          <w:numId w:val="2"/>
        </w:numPr>
        <w:spacing w:before="0" w:beforeAutospacing="0"/>
        <w:ind w:left="720" w:hanging="360"/>
        <w:rPr>
          <w:u w:val="none"/>
        </w:rPr>
      </w:pPr>
      <w:r w:rsidDel="00000000" w:rsidR="00000000" w:rsidRPr="00000000">
        <w:rPr>
          <w:rtl w:val="0"/>
        </w:rPr>
        <w:t xml:space="preserve">Extracted the model predicted probability of responding to the survey, P, and derived an inverse probability weight as 1/P × R, where R is the proportion responding in this survey period. </w:t>
      </w:r>
    </w:p>
    <w:p w:rsidR="00000000" w:rsidDel="00000000" w:rsidP="00000000" w:rsidRDefault="00000000" w:rsidRPr="00000000" w14:paraId="00000140">
      <w:pPr>
        <w:rPr/>
      </w:pPr>
      <w:r w:rsidDel="00000000" w:rsidR="00000000" w:rsidRPr="00000000">
        <w:rPr>
          <w:rtl w:val="0"/>
        </w:rPr>
        <w:t xml:space="preserve">This procedure resulted in a longitudinal weight for each respondent at each survey period.  We then derived a combined weight as ‘baseline weight’ × ‘longitudinal weight’.  These weights were applied as follows:</w:t>
      </w:r>
    </w:p>
    <w:p w:rsidR="00000000" w:rsidDel="00000000" w:rsidP="00000000" w:rsidRDefault="00000000" w:rsidRPr="00000000" w14:paraId="00000141">
      <w:pPr>
        <w:numPr>
          <w:ilvl w:val="0"/>
          <w:numId w:val="4"/>
        </w:numPr>
        <w:spacing w:after="0" w:afterAutospacing="0"/>
        <w:ind w:left="720" w:hanging="360"/>
        <w:rPr>
          <w:u w:val="none"/>
        </w:rPr>
      </w:pPr>
      <w:r w:rsidDel="00000000" w:rsidR="00000000" w:rsidRPr="00000000">
        <w:rPr>
          <w:rtl w:val="0"/>
        </w:rPr>
        <w:t xml:space="preserve">Baseline statistics were weighted using the baseline weight only; </w:t>
      </w:r>
    </w:p>
    <w:p w:rsidR="00000000" w:rsidDel="00000000" w:rsidP="00000000" w:rsidRDefault="00000000" w:rsidRPr="00000000" w14:paraId="00000142">
      <w:pPr>
        <w:numPr>
          <w:ilvl w:val="0"/>
          <w:numId w:val="4"/>
        </w:numPr>
        <w:spacing w:after="0" w:afterAutospacing="0" w:before="0" w:beforeAutospacing="0"/>
        <w:ind w:left="720" w:hanging="360"/>
        <w:rPr>
          <w:u w:val="none"/>
        </w:rPr>
      </w:pPr>
      <w:r w:rsidDel="00000000" w:rsidR="00000000" w:rsidRPr="00000000">
        <w:rPr>
          <w:rtl w:val="0"/>
        </w:rPr>
        <w:t xml:space="preserve">Longitudinal statistics weighted using the combined weight (‘baseline weight’ × ‘longitudinal weight’);</w:t>
      </w:r>
    </w:p>
    <w:p w:rsidR="00000000" w:rsidDel="00000000" w:rsidP="00000000" w:rsidRDefault="00000000" w:rsidRPr="00000000" w14:paraId="00000143">
      <w:pPr>
        <w:numPr>
          <w:ilvl w:val="0"/>
          <w:numId w:val="4"/>
        </w:numPr>
        <w:spacing w:before="0" w:beforeAutospacing="0"/>
        <w:ind w:left="720" w:hanging="360"/>
        <w:rPr>
          <w:u w:val="none"/>
        </w:rPr>
      </w:pPr>
      <w:r w:rsidDel="00000000" w:rsidR="00000000" w:rsidRPr="00000000">
        <w:rPr>
          <w:rtl w:val="0"/>
        </w:rPr>
        <w:t xml:space="preserve">GMM models were weighted with the baseline weight only,</w:t>
      </w:r>
    </w:p>
    <w:p w:rsidR="00000000" w:rsidDel="00000000" w:rsidP="00000000" w:rsidRDefault="00000000" w:rsidRPr="00000000" w14:paraId="00000144">
      <w:pPr>
        <w:ind w:left="0" w:firstLine="0"/>
        <w:rPr/>
      </w:pPr>
      <w:r w:rsidDel="00000000" w:rsidR="00000000" w:rsidRPr="00000000">
        <w:rPr>
          <w:rtl w:val="0"/>
        </w:rPr>
        <w:t xml:space="preserve">All code used to prepare these weights can be found in the online repository</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rPr/>
      </w:pPr>
      <w:bookmarkStart w:colFirst="0" w:colLast="0" w:name="_ak4zloakwf7f" w:id="9"/>
      <w:bookmarkEnd w:id="9"/>
      <w:r w:rsidDel="00000000" w:rsidR="00000000" w:rsidRPr="00000000">
        <w:rPr>
          <w:rtl w:val="0"/>
        </w:rPr>
        <w:t xml:space="preserve">Supplementary Table 3</w:t>
      </w:r>
    </w:p>
    <w:p w:rsidR="00000000" w:rsidDel="00000000" w:rsidP="00000000" w:rsidRDefault="00000000" w:rsidRPr="00000000" w14:paraId="00000146">
      <w:pPr>
        <w:rPr/>
      </w:pPr>
      <w:r w:rsidDel="00000000" w:rsidR="00000000" w:rsidRPr="00000000">
        <w:rPr>
          <w:rtl w:val="0"/>
        </w:rPr>
        <w:t xml:space="preserve">Odds ratios for associations of baseline variables with trajectory class assignment</w:t>
      </w:r>
    </w:p>
    <w:p w:rsidR="00000000" w:rsidDel="00000000" w:rsidP="00000000" w:rsidRDefault="00000000" w:rsidRPr="00000000" w14:paraId="00000147">
      <w:pPr>
        <w:rPr/>
      </w:pPr>
      <w:r w:rsidDel="00000000" w:rsidR="00000000" w:rsidRPr="00000000">
        <w:rPr>
          <w:i w:val="1"/>
          <w:rtl w:val="0"/>
        </w:rPr>
        <w:t xml:space="preserve">Notes. </w:t>
      </w:r>
      <w:r w:rsidDel="00000000" w:rsidR="00000000" w:rsidRPr="00000000">
        <w:rPr>
          <w:rtl w:val="0"/>
        </w:rPr>
        <w:t xml:space="preserve">Each variable was tested in a separate model, adjusted for age and gender.</w:t>
      </w:r>
    </w:p>
    <w:tbl>
      <w:tblPr>
        <w:tblStyle w:val="Table3"/>
        <w:tblW w:w="96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3360"/>
        <w:gridCol w:w="1845"/>
        <w:gridCol w:w="2205"/>
        <w:gridCol w:w="1890"/>
        <w:tblGridChange w:id="0">
          <w:tblGrid>
            <w:gridCol w:w="330"/>
            <w:gridCol w:w="3360"/>
            <w:gridCol w:w="1845"/>
            <w:gridCol w:w="2205"/>
            <w:gridCol w:w="1890"/>
          </w:tblGrid>
        </w:tblGridChange>
      </w:tblGrid>
      <w:tr>
        <w:trPr>
          <w:cantSplit w:val="0"/>
          <w:trHeight w:val="690" w:hRule="atLeast"/>
          <w:tblHeader w:val="0"/>
        </w:trPr>
        <w:tc>
          <w:tcPr>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gridSpan w:val="3"/>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Odds of assignment, compared to reference class (‘Persistent low level symptoms’)</w:t>
            </w:r>
            <w:r w:rsidDel="00000000" w:rsidR="00000000" w:rsidRPr="00000000">
              <w:rPr>
                <w:rtl w:val="0"/>
              </w:rPr>
            </w:r>
          </w:p>
        </w:tc>
      </w:tr>
      <w:tr>
        <w:trPr>
          <w:cantSplit w:val="0"/>
          <w:trHeight w:val="387.978515625" w:hRule="atLeast"/>
          <w:tblHeader w:val="0"/>
        </w:trPr>
        <w:tc>
          <w:tcPr>
            <w:gridSpan w:val="2"/>
            <w:vMerge w:val="restart"/>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Class 1</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Class 2</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rPr>
            </w:pPr>
            <w:r w:rsidDel="00000000" w:rsidR="00000000" w:rsidRPr="00000000">
              <w:rPr>
                <w:rFonts w:ascii="Arial" w:cs="Arial" w:eastAsia="Arial" w:hAnsi="Arial"/>
                <w:b w:val="1"/>
                <w:rtl w:val="0"/>
              </w:rPr>
              <w:t xml:space="preserve">Class 3</w:t>
            </w:r>
            <w:r w:rsidDel="00000000" w:rsidR="00000000" w:rsidRPr="00000000">
              <w:rPr>
                <w:rtl w:val="0"/>
              </w:rPr>
            </w:r>
          </w:p>
        </w:tc>
      </w:tr>
      <w:tr>
        <w:trPr>
          <w:cantSplit w:val="0"/>
          <w:trHeight w:val="1224.8828124999998" w:hRule="atLeast"/>
          <w:tblHeader w:val="0"/>
        </w:trPr>
        <w:tc>
          <w:tcPr>
            <w:gridSpan w:val="2"/>
            <w:vMerge w:val="continue"/>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‘Persistent high severity symptoms’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‘Varying symptoms, opposing national cases’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‘Varying symptoms, consistent with national cases’</w:t>
            </w:r>
            <w:r w:rsidDel="00000000" w:rsidR="00000000" w:rsidRPr="00000000">
              <w:rPr>
                <w:rtl w:val="0"/>
              </w:rPr>
            </w:r>
          </w:p>
        </w:tc>
      </w:tr>
      <w:tr>
        <w:trPr>
          <w:cantSplit w:val="0"/>
          <w:trHeight w:val="357.978515625" w:hRule="atLeast"/>
          <w:tblHeader w:val="0"/>
        </w:trPr>
        <w:tc>
          <w:tcPr>
            <w:gridSpan w:val="2"/>
            <w:tcBorders>
              <w:top w:color="000000" w:space="0" w:sz="6" w:val="single"/>
              <w:left w:color="000000" w:space="0" w:sz="0" w:val="nil"/>
              <w:bottom w:color="000000" w:space="0" w:sz="0" w:val="nil"/>
              <w:right w:color="000000" w:space="0" w:sz="0" w:val="nil"/>
            </w:tcBorders>
            <w:shd w:fill="d9d9d9"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Symptoms of anxiety (GAD-7)</w:t>
            </w:r>
          </w:p>
        </w:tc>
        <w:tc>
          <w:tcPr>
            <w:tcBorders>
              <w:top w:color="000000" w:space="0" w:sz="6" w:val="single"/>
              <w:left w:color="000000" w:space="0" w:sz="0" w:val="nil"/>
              <w:bottom w:color="000000" w:space="0" w:sz="0" w:val="nil"/>
              <w:right w:color="000000" w:space="0" w:sz="0" w:val="nil"/>
            </w:tcBorders>
            <w:shd w:fill="d9d9d9"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d9d9d9"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d9d9d9"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rHeight w:val="113.38582677165356"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Age (10-year increase)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0.58 [0.47, 0.71]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0.61 [0.50, 0.76]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0.57 [0.47, 0.69]</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1">
            <w:pPr>
              <w:spacing w:after="0" w:before="0" w:line="240" w:lineRule="auto"/>
              <w:rPr>
                <w:rFonts w:ascii="Arial" w:cs="Arial" w:eastAsia="Arial" w:hAnsi="Arial"/>
              </w:rPr>
            </w:pPr>
            <w:r w:rsidDel="00000000" w:rsidR="00000000" w:rsidRPr="00000000">
              <w:rPr>
                <w:rFonts w:ascii="Arial" w:cs="Arial" w:eastAsia="Arial" w:hAnsi="Arial"/>
                <w:rtl w:val="0"/>
              </w:rPr>
              <w:t xml:space="preserve">Female gender</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1.69 [0.98, 2.91]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1.43 [0.83, 2.47]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1.50 [0.96, 2.37]</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Relationship status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Partner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r>
      <w:tr>
        <w:trPr>
          <w:cantSplit w:val="0"/>
          <w:trHeight w:val="327.978515625"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Single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1.65 [1.00, 2.71]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0.89 [0.48, 1.63]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1.19 [0.76, 1.87]</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Divorced</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1.41 [0.38, 5.23]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1.66 [0.59, 4.63]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0.63 [0.17, 2.28]</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Chronic condition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2.92 [1.77, 4.83]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2.10 [1.20, 3.67]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1.21 [0.72, 2.05]</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Living arrangements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Living alone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1.52 [0.79, 2.90]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0.72 [0.33, 1.58]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0.79 [0.42, 1.48]</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Renting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1.50 [0.87, 2.61]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1.13 [0.63, 2.02]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1.20 [0.78, 1.84]</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Role</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Academic, specialist and manag.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Research, clerical and technical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0.91 [0.49, 1.66]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0.94 [0.53, 1.68]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0.79 [0.47, 1.31]</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Teaching, facilities and clinical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0.14 [0.02, 0.98]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0.58 [0.21, 1.59]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1.19 [0.58, 2.45]</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Postgraduate student</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1.22 [0.66, 2.24]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0.70 [0.30, 1.64]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1.15 [0.66, 1.99]</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Caring roles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Has children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1.02 [0.57, 1.84]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0.89 [0.47, 1.68]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1.44 [0.84, 2.45]</w:t>
            </w:r>
            <w:r w:rsidDel="00000000" w:rsidR="00000000" w:rsidRPr="00000000">
              <w:rPr>
                <w:rtl w:val="0"/>
              </w:rPr>
            </w:r>
          </w:p>
        </w:tc>
      </w:tr>
      <w:tr>
        <w:trPr>
          <w:cantSplit w:val="0"/>
          <w:trHeight w:val="113.38582677165356" w:hRule="atLeast"/>
          <w:tblHeader w:val="0"/>
        </w:trPr>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Has children aged 6 or younger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0.91 [0.43, 1.94]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1.18 [0.57, 2.44]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1.62 [0.94, 2.79]</w:t>
            </w:r>
            <w:r w:rsidDel="00000000" w:rsidR="00000000" w:rsidRPr="00000000">
              <w:rPr>
                <w:rtl w:val="0"/>
              </w:rPr>
            </w:r>
          </w:p>
        </w:tc>
      </w:tr>
      <w:tr>
        <w:trPr>
          <w:cantSplit w:val="0"/>
          <w:trHeight w:val="113.38582677165356" w:hRule="atLeast"/>
          <w:tblHeader w:val="0"/>
        </w:trPr>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Other caring role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2.54 [1.17, 5.54]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1.98 [0.75, 5.24]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1.91 [0.86, 4.22]</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Key worker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0.97 [0.48, 1.94]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0.66 [0.26, 1.66]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0.96 [0.50, 1.84]</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Shielding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1.98 [0.57, 6.84]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4.44 [1.24, 15.86]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4.02 [0.86, 18.80]</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Prior mental health </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Anxiety</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6.23 [3.80, 10.22]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3.97 [2.29, 6.88]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3.27 [2.12, 5.02]</w:t>
            </w:r>
            <w:r w:rsidDel="00000000" w:rsidR="00000000" w:rsidRPr="00000000">
              <w:rPr>
                <w:rtl w:val="0"/>
              </w:rPr>
            </w:r>
          </w:p>
        </w:tc>
      </w:tr>
      <w:tr>
        <w:trPr>
          <w:cantSplit w:val="0"/>
          <w:trHeight w:val="113.38582677165356" w:hRule="atLeast"/>
          <w:tblHeader w:val="0"/>
        </w:trPr>
        <w:tc>
          <w:tcPr>
            <w:vMerge w:val="continue"/>
            <w:tcBorders>
              <w:bottom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Depression</w:t>
            </w:r>
            <w:r w:rsidDel="00000000" w:rsidR="00000000" w:rsidRPr="00000000">
              <w:rPr>
                <w:rtl w:val="0"/>
              </w:rPr>
            </w:r>
          </w:p>
        </w:tc>
        <w:tc>
          <w:tcPr>
            <w:tcBorders>
              <w:bottom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6.53 [3.97, 10.74]</w:t>
            </w:r>
            <w:r w:rsidDel="00000000" w:rsidR="00000000" w:rsidRPr="00000000">
              <w:rPr>
                <w:rtl w:val="0"/>
              </w:rPr>
            </w:r>
          </w:p>
        </w:tc>
        <w:tc>
          <w:tcPr>
            <w:tcBorders>
              <w:bottom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3.59 [2.09, 6.15]</w:t>
            </w:r>
            <w:r w:rsidDel="00000000" w:rsidR="00000000" w:rsidRPr="00000000">
              <w:rPr>
                <w:rtl w:val="0"/>
              </w:rPr>
            </w:r>
          </w:p>
        </w:tc>
        <w:tc>
          <w:tcPr>
            <w:tcBorders>
              <w:bottom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2.16 [1.40, 3.36]</w:t>
            </w:r>
            <w:r w:rsidDel="00000000" w:rsidR="00000000" w:rsidRPr="00000000">
              <w:rPr>
                <w:rtl w:val="0"/>
              </w:rPr>
            </w:r>
          </w:p>
        </w:tc>
      </w:tr>
      <w:tr>
        <w:trPr>
          <w:cantSplit w:val="0"/>
          <w:trHeight w:val="390" w:hRule="atLeast"/>
          <w:tblHeader w:val="0"/>
        </w:trPr>
        <w:tc>
          <w:tcPr>
            <w:gridSpan w:val="2"/>
            <w:tcBorders>
              <w:top w:color="000000" w:space="0" w:sz="0" w:val="nil"/>
              <w:bottom w:color="000000" w:space="0" w:sz="0" w:val="nil"/>
            </w:tcBorders>
            <w:shd w:fill="d9d9d9"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Symptoms of depression (PHQ-9)</w:t>
            </w:r>
          </w:p>
        </w:tc>
        <w:tc>
          <w:tcPr>
            <w:tcBorders>
              <w:top w:color="000000" w:space="0" w:sz="0" w:val="nil"/>
              <w:bottom w:color="000000" w:space="0" w:sz="0" w:val="nil"/>
            </w:tcBorders>
            <w:shd w:fill="d9d9d9"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tcBorders>
              <w:top w:color="000000" w:space="0" w:sz="0" w:val="nil"/>
              <w:bottom w:color="000000" w:space="0" w:sz="0" w:val="nil"/>
            </w:tcBorders>
            <w:shd w:fill="d9d9d9"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tcBorders>
              <w:top w:color="000000" w:space="0" w:sz="0" w:val="nil"/>
              <w:bottom w:color="000000" w:space="0" w:sz="0" w:val="nil"/>
            </w:tcBorders>
            <w:shd w:fill="d9d9d9"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gridSpan w:val="2"/>
            <w:tcBorders>
              <w:top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9">
            <w:pPr>
              <w:spacing w:after="0" w:before="0" w:line="240" w:lineRule="auto"/>
              <w:rPr>
                <w:rFonts w:ascii="Arial" w:cs="Arial" w:eastAsia="Arial" w:hAnsi="Arial"/>
              </w:rPr>
            </w:pPr>
            <w:r w:rsidDel="00000000" w:rsidR="00000000" w:rsidRPr="00000000">
              <w:rPr>
                <w:rFonts w:ascii="Arial" w:cs="Arial" w:eastAsia="Arial" w:hAnsi="Arial"/>
                <w:rtl w:val="0"/>
              </w:rPr>
              <w:t xml:space="preserve">Age (10-year increase)</w:t>
            </w:r>
          </w:p>
        </w:tc>
        <w:tc>
          <w:tcPr>
            <w:tcBorders>
              <w:top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B">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0.55 [0.43, 0.70]</w:t>
            </w:r>
          </w:p>
        </w:tc>
        <w:tc>
          <w:tcPr>
            <w:tcBorders>
              <w:top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C">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0.87 [0.70, 1.08]</w:t>
            </w:r>
          </w:p>
        </w:tc>
        <w:tc>
          <w:tcPr>
            <w:tcBorders>
              <w:top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D">
            <w:pPr>
              <w:spacing w:after="0" w:before="0" w:line="240" w:lineRule="auto"/>
              <w:jc w:val="right"/>
              <w:rPr>
                <w:rFonts w:ascii="Arial" w:cs="Arial" w:eastAsia="Arial" w:hAnsi="Arial"/>
              </w:rPr>
            </w:pPr>
            <w:r w:rsidDel="00000000" w:rsidR="00000000" w:rsidRPr="00000000">
              <w:rPr>
                <w:rFonts w:ascii="Arial" w:cs="Arial" w:eastAsia="Arial" w:hAnsi="Arial"/>
                <w:rtl w:val="0"/>
              </w:rPr>
              <w:t xml:space="preserve">0.65 [0.50, 0.84]</w:t>
            </w:r>
          </w:p>
        </w:tc>
      </w:tr>
      <w:tr>
        <w:trPr>
          <w:cantSplit w:val="0"/>
          <w:trHeight w:val="288.0314960629921"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Female gender</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0.93 [0.54, 1.57]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1.44 [0.77, 2.72]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1.66 [0.91, 3.03]</w:t>
            </w:r>
            <w:r w:rsidDel="00000000" w:rsidR="00000000" w:rsidRPr="00000000">
              <w:rPr>
                <w:rtl w:val="0"/>
              </w:rPr>
            </w:r>
          </w:p>
        </w:tc>
      </w:tr>
      <w:tr>
        <w:trPr>
          <w:cantSplit w:val="0"/>
          <w:trHeight w:val="288.0314960629921"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Relationship status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Partner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r>
      <w:tr>
        <w:trPr>
          <w:cantSplit w:val="0"/>
          <w:trHeight w:val="294.97070312499994"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Single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2.74 [1.65, 4.55]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1.33 [0.68, 2.60]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1.13 [0.65, 1.95]</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Divorced</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3.09 [0.98, 9.79]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2.66 [1.00, 7.04]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1.44 [0.48, 4.29]</w:t>
            </w:r>
            <w:r w:rsidDel="00000000" w:rsidR="00000000" w:rsidRPr="00000000">
              <w:rPr>
                <w:rtl w:val="0"/>
              </w:rPr>
            </w:r>
          </w:p>
        </w:tc>
      </w:tr>
      <w:tr>
        <w:trPr>
          <w:cantSplit w:val="0"/>
          <w:trHeight w:val="113.38582677165356"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Chronic condition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2.68 [1.59, 4.52]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1.36 [0.75, 2.46]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1.48 [0.81, 2.71]</w:t>
            </w:r>
            <w:r w:rsidDel="00000000" w:rsidR="00000000" w:rsidRPr="00000000">
              <w:rPr>
                <w:rtl w:val="0"/>
              </w:rPr>
            </w:r>
          </w:p>
        </w:tc>
      </w:tr>
      <w:tr>
        <w:trPr>
          <w:cantSplit w:val="0"/>
          <w:trHeight w:val="288.0314960629921"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Living arrangements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Living alone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1.87 [0.98, 3.56]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2.21 [1.05, 4.65]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1.31 [0.69, 2.52]</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Renting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1.39 [0.76, 2.54]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0.92 [0.50, 1.69]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1.54 [0.87, 2.73]</w:t>
            </w:r>
            <w:r w:rsidDel="00000000" w:rsidR="00000000" w:rsidRPr="00000000">
              <w:rPr>
                <w:rtl w:val="0"/>
              </w:rPr>
            </w:r>
          </w:p>
        </w:tc>
      </w:tr>
      <w:tr>
        <w:trPr>
          <w:cantSplit w:val="0"/>
          <w:trHeight w:val="297.978515625"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Role</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Academic, specialist and manag.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1.00 [1.00, 1.00]</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Research, clerical and technical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1.25 [0.65, 2.40]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0.92 [0.47, 1.82]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1.17 [0.65, 2.11]</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Teaching, facilities and clinical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0.68 [0.23, 2.02]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1.34 [0.48, 3.75]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0.97 [0.38, 2.53]</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Postgraduate student</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1.68 [0.88, 3.22]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0.68 [0.26, 1.76]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1.20 [0.61, 2.35]</w:t>
            </w:r>
            <w:r w:rsidDel="00000000" w:rsidR="00000000" w:rsidRPr="00000000">
              <w:rPr>
                <w:rtl w:val="0"/>
              </w:rPr>
            </w:r>
          </w:p>
        </w:tc>
      </w:tr>
      <w:tr>
        <w:trPr>
          <w:cantSplit w:val="0"/>
          <w:trHeight w:val="288.0314960629921"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Caring roles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Has children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0.79 [0.41, 1.55]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0.87 [0.46, 1.66]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0.79 [0.38, 1.67]</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Has children aged 6 or younger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0.79 [0.35, 1.77]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0.33 [0.12, 0.92]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1.36 [0.68, 2.70]</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Other caring role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1.31 [0.46, 3.77]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1.21 [0.48, 3.01]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1.75 [0.62, 4.89]</w:t>
            </w:r>
            <w:r w:rsidDel="00000000" w:rsidR="00000000" w:rsidRPr="00000000">
              <w:rPr>
                <w:rtl w:val="0"/>
              </w:rPr>
            </w:r>
          </w:p>
        </w:tc>
      </w:tr>
      <w:tr>
        <w:trPr>
          <w:cantSplit w:val="0"/>
          <w:trHeight w:val="288.0314960629921"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Key worker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1.35 [0.68, 2.69]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1.15 [0.49, 2.71]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1.25 [0.57, 2.71]</w:t>
            </w:r>
            <w:r w:rsidDel="00000000" w:rsidR="00000000" w:rsidRPr="00000000">
              <w:rPr>
                <w:rtl w:val="0"/>
              </w:rPr>
            </w:r>
          </w:p>
        </w:tc>
      </w:tr>
      <w:tr>
        <w:trPr>
          <w:cantSplit w:val="0"/>
          <w:trHeight w:val="288.0314960629921"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Shielding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1.17 [0.27, 5.16]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1.34 [0.35, 5.15]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2.00 [0.38, 10.60]</w:t>
            </w:r>
            <w:r w:rsidDel="00000000" w:rsidR="00000000" w:rsidRPr="00000000">
              <w:rPr>
                <w:rtl w:val="0"/>
              </w:rPr>
            </w:r>
          </w:p>
        </w:tc>
      </w:tr>
      <w:tr>
        <w:trPr>
          <w:cantSplit w:val="0"/>
          <w:trHeight w:val="288.0314960629921" w:hRule="atLeast"/>
          <w:tblHeader w:val="0"/>
        </w:trPr>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Prior mental health</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tl w:val="0"/>
              </w:rPr>
            </w:r>
          </w:p>
        </w:tc>
      </w:tr>
      <w:tr>
        <w:trPr>
          <w:cantSplit w:val="0"/>
          <w:trHeight w:val="113.38582677165356" w:hRule="atLeast"/>
          <w:tblHeader w:val="0"/>
        </w:trPr>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Anxiety</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3.73 [2.29, 6.06]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3.20 [1.69, 6.04]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3.17 [1.93, 5.21]</w:t>
            </w:r>
            <w:r w:rsidDel="00000000" w:rsidR="00000000" w:rsidRPr="00000000">
              <w:rPr>
                <w:rtl w:val="0"/>
              </w:rPr>
            </w:r>
          </w:p>
        </w:tc>
      </w:tr>
      <w:tr>
        <w:trPr>
          <w:cantSplit w:val="0"/>
          <w:trHeight w:val="113.38582677165356" w:hRule="atLeast"/>
          <w:tblHeader w:val="0"/>
        </w:trPr>
        <w:tc>
          <w:tcPr>
            <w:vMerge w:val="continue"/>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Depression</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5.62 [3.37, 9.39]</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6.78 [3.83, 12.02]</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3.12 [1.92, 5.08]</w:t>
            </w:r>
            <w:r w:rsidDel="00000000" w:rsidR="00000000" w:rsidRPr="00000000">
              <w:rPr>
                <w:rtl w:val="0"/>
              </w:rPr>
            </w:r>
          </w:p>
        </w:tc>
      </w:tr>
    </w:tbl>
    <w:p w:rsidR="00000000" w:rsidDel="00000000" w:rsidP="00000000" w:rsidRDefault="00000000" w:rsidRPr="00000000" w14:paraId="00000251">
      <w:pPr>
        <w:rPr/>
      </w:pPr>
      <w:r w:rsidDel="00000000" w:rsidR="00000000" w:rsidRPr="00000000">
        <w:rPr>
          <w:rtl w:val="0"/>
        </w:rPr>
      </w:r>
    </w:p>
    <w:sectPr>
      <w:headerReference r:id="rId12" w:type="default"/>
      <w:footerReference r:id="rId13"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rebuchet MS"/>
  <w:font w:name="Gungsuh"/>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53">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https://github.com/ewancarr/check-longitudinal</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widowControl w:val="0"/>
        <w:spacing w:after="240"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24"/>
      <w:szCs w:val="24"/>
    </w:rPr>
  </w:style>
  <w:style w:type="paragraph" w:styleId="Heading2">
    <w:name w:val="heading 2"/>
    <w:basedOn w:val="Normal"/>
    <w:next w:val="Normal"/>
    <w:pPr>
      <w:spacing w:after="120" w:line="240" w:lineRule="auto"/>
    </w:pPr>
    <w:rPr>
      <w:rFonts w:ascii="Arial" w:cs="Arial" w:eastAsia="Arial" w:hAnsi="Arial"/>
      <w:sz w:val="24"/>
      <w:szCs w:val="24"/>
    </w:rPr>
  </w:style>
  <w:style w:type="paragraph" w:styleId="Heading3">
    <w:name w:val="heading 3"/>
    <w:basedOn w:val="Normal"/>
    <w:next w:val="Normal"/>
    <w:pPr/>
    <w:rPr>
      <w:sz w:val="24"/>
      <w:szCs w:val="24"/>
    </w:rPr>
  </w:style>
  <w:style w:type="paragraph" w:styleId="Heading4">
    <w:name w:val="heading 4"/>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pageBreakBefore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sz w:val="26"/>
      <w:szCs w:val="26"/>
    </w:rPr>
  </w:style>
  <w:style w:type="paragraph" w:styleId="Subtitle">
    <w:name w:val="Subtitle"/>
    <w:basedOn w:val="Normal"/>
    <w:next w:val="Normal"/>
    <w:pPr>
      <w:pageBreakBefore w:val="0"/>
      <w:jc w:val="center"/>
    </w:pPr>
    <w:rPr>
      <w:rFonts w:ascii="PT Serif" w:cs="PT Serif" w:eastAsia="PT Serif" w:hAnsi="PT Serif"/>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v7lGww" TargetMode="External"/><Relationship Id="rId10" Type="http://schemas.openxmlformats.org/officeDocument/2006/relationships/hyperlink" Target="https://www.zotero.org/google-docs/?P8aFHe"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otero.org/google-docs/?U4fqs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zotero.org/google-docs/?lkLlLf" TargetMode="External"/><Relationship Id="rId8" Type="http://schemas.openxmlformats.org/officeDocument/2006/relationships/hyperlink" Target="https://www.zotero.org/google-docs/?TKbN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ewancarr/check-longitud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