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06193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种子经纪奖励结算全流程SOP</w:t>
      </w:r>
    </w:p>
    <w:p w14:paraId="4CFC94DB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一、目的</w:t>
      </w:r>
      <w:bookmarkEnd w:id="0"/>
    </w:p>
    <w:p w14:paraId="100591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为规范种子经纪、引荐入驻经纪的业务奖励与引荐奖励结算流程，统一审核标准与操作口径，保障结算效率与数据准确性，同时防范刷单套利风险，特制定本标准作业流程。</w:t>
      </w:r>
    </w:p>
    <w:p w14:paraId="665EB173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二、适用范围</w:t>
      </w:r>
      <w:bookmarkEnd w:id="1"/>
    </w:p>
    <w:p w14:paraId="6FD004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 SOP 适用于平台第一期种子经纪计划内，所有正式种子经纪、引荐入驻经纪的</w:t>
      </w:r>
      <w:r>
        <w:rPr>
          <w:rFonts w:hint="eastAsia" w:ascii="Arial" w:hAnsi="Arial" w:eastAsia="等线" w:cs="Arial"/>
          <w:sz w:val="22"/>
          <w:lang w:eastAsia="zh-CN"/>
        </w:rPr>
        <w:t>有效通告</w:t>
      </w:r>
      <w:r>
        <w:rPr>
          <w:rFonts w:ascii="Arial" w:hAnsi="Arial" w:eastAsia="等线" w:cs="Arial"/>
          <w:sz w:val="22"/>
        </w:rPr>
        <w:t>奖励、</w:t>
      </w:r>
      <w:r>
        <w:rPr>
          <w:rFonts w:hint="eastAsia" w:ascii="Arial" w:hAnsi="Arial" w:eastAsia="等线" w:cs="Arial"/>
          <w:sz w:val="22"/>
          <w:lang w:eastAsia="zh-CN"/>
        </w:rPr>
        <w:t>新增签约</w:t>
      </w:r>
      <w:r>
        <w:rPr>
          <w:rFonts w:ascii="Arial" w:hAnsi="Arial" w:eastAsia="等线" w:cs="Arial"/>
          <w:sz w:val="22"/>
        </w:rPr>
        <w:t>奖励、引荐奖励的全流程结算管理，涵盖入驻入库、凭证审核、数据核算、异议处理、资金发放、台账归档全环节。</w:t>
      </w:r>
    </w:p>
    <w:p w14:paraId="37331D91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三、岗位职责分工</w:t>
      </w:r>
      <w:bookmarkEnd w:id="2"/>
    </w:p>
    <w:p w14:paraId="6488B6D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运营岗</w:t>
      </w:r>
      <w:r>
        <w:rPr>
          <w:rFonts w:ascii="Arial" w:hAnsi="Arial" w:eastAsia="等线" w:cs="Arial"/>
          <w:sz w:val="22"/>
        </w:rPr>
        <w:t>：负责经纪资质审核、身份标记、引荐关系绑定、通告数据全量核验、奖励核算、异议复核、专项台账维护、规则落地执行。</w:t>
      </w:r>
    </w:p>
    <w:p w14:paraId="09DB00A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客服岗</w:t>
      </w:r>
      <w:r>
        <w:rPr>
          <w:rFonts w:ascii="Arial" w:hAnsi="Arial" w:eastAsia="等线" w:cs="Arial"/>
          <w:sz w:val="22"/>
        </w:rPr>
        <w:t>：负责经纪端答疑、凭证收集指引、结算通知同步、异议申请受理、申诉材料初检、入驻申请材料收集。</w:t>
      </w:r>
    </w:p>
    <w:p w14:paraId="3DA85F3F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财务岗</w:t>
      </w:r>
      <w:r>
        <w:rPr>
          <w:rFonts w:ascii="Arial" w:hAnsi="Arial" w:eastAsia="等线" w:cs="Arial"/>
          <w:sz w:val="22"/>
        </w:rPr>
        <w:t>：负责奖励资金审批、转账发放、发放流水留存、月度对账。</w:t>
      </w:r>
    </w:p>
    <w:p w14:paraId="63B6E5C3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四、个人业务奖励结算流程（种子经纪 / 引荐入驻经纪通用）</w:t>
      </w:r>
      <w:bookmarkEnd w:id="3"/>
    </w:p>
    <w:p w14:paraId="022D956C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4.1 入驻入库流程（一次性完成）</w:t>
      </w:r>
      <w:bookmarkEnd w:id="4"/>
    </w:p>
    <w:p w14:paraId="3B3F9E5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运营 / 客服定向邀约意向经纪，引导其通过微信账号完成平台站内注册，并完成身份证实名认证（未实名账号无法发布 / 承接通告）。</w:t>
      </w:r>
    </w:p>
    <w:p w14:paraId="20E6D7A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经纪注册完成后，向客服提供账号绑定的手机号；运营通过手机号在后台匹配对应唯一 ID，核验账号实名认证状态、基础信息、历史违规记录。</w:t>
      </w:r>
    </w:p>
    <w:p w14:paraId="1823B55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业务能力核验（分两类场景执行）</w:t>
      </w:r>
    </w:p>
    <w:p w14:paraId="770A4DF2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场景一：经纪在平台自有资源群内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运营直接在对应资源群中，检索该经纪微信账号近 </w:t>
      </w:r>
      <w:r>
        <w:rPr>
          <w:rFonts w:hint="eastAsia" w:ascii="Arial" w:hAnsi="Arial" w:eastAsia="等线" w:cs="Arial"/>
          <w:sz w:val="22"/>
          <w:lang w:val="en-US" w:eastAsia="zh-CN"/>
        </w:rPr>
        <w:t>3个月内</w:t>
      </w:r>
      <w:r>
        <w:rPr>
          <w:rFonts w:ascii="Arial" w:hAnsi="Arial" w:eastAsia="等线" w:cs="Arial"/>
          <w:sz w:val="22"/>
        </w:rPr>
        <w:t>的通告发布记录，核实月均有效通告发布量≥2 单，满足准入业务门槛。</w:t>
      </w:r>
    </w:p>
    <w:p w14:paraId="68D84CE4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场景二：经纪不在平台自有群内发布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由经纪提供外群发布频次凭证：在对应行业群的聊天记录搜索功能中，筛选自己的微信昵称 / 账号，截取近 </w:t>
      </w:r>
      <w:r>
        <w:rPr>
          <w:rFonts w:hint="eastAsia" w:ascii="Arial" w:hAnsi="Arial" w:eastAsia="等线" w:cs="Arial"/>
          <w:sz w:val="22"/>
          <w:lang w:val="en-US" w:eastAsia="zh-CN"/>
        </w:rPr>
        <w:t>3个月内</w:t>
      </w:r>
      <w:r>
        <w:rPr>
          <w:rFonts w:ascii="Arial" w:hAnsi="Arial" w:eastAsia="等线" w:cs="Arial"/>
          <w:sz w:val="22"/>
        </w:rPr>
        <w:t>的通告发布记录完整列表；运营核验凭证真实性，确认月均有效通告发布量≥2 单，满足准入门槛。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核验不通过的，由客服告知不符合准入条件；核验通过的进入下一环节。</w:t>
      </w:r>
    </w:p>
    <w:p w14:paraId="13D3FFB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核验通过后，运营通过平台站内推送电子合作协议，经纪完成线上签署确认。</w:t>
      </w:r>
    </w:p>
    <w:p w14:paraId="7D2A43B0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运营在后台标记对应身份（正式种子经纪 / 引荐入驻经纪），将唯一 ID 纳入专项结算台账，正式入库生效，由客服同步告知经纪。</w:t>
      </w:r>
    </w:p>
    <w:p w14:paraId="4B39277D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4.2 周度常规结算流程</w:t>
      </w:r>
      <w:bookmarkEnd w:id="5"/>
    </w:p>
    <w:p w14:paraId="340891A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经纪入库后可正常发布通告、对接签约，后台自动累计发布数量、签约人次 / 人数、通告状态等基础数据；通告结束后，经纪自行整理对应外群转发凭证。</w:t>
      </w:r>
    </w:p>
    <w:p w14:paraId="06E44D1D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每周二 24:00 前</w:t>
      </w:r>
      <w:r>
        <w:rPr>
          <w:rFonts w:ascii="Arial" w:hAnsi="Arial" w:eastAsia="等线" w:cs="Arial"/>
          <w:sz w:val="22"/>
        </w:rPr>
        <w:t>：经纪通过客服渠道，上传上一结算周期内所有已结束通告的外群佐证录屏；客服同步提醒未上传的经纪按时提交。</w:t>
      </w:r>
    </w:p>
    <w:p w14:paraId="183D744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每周三全天</w:t>
      </w:r>
      <w:r>
        <w:rPr>
          <w:rFonts w:ascii="Arial" w:hAnsi="Arial" w:eastAsia="等线" w:cs="Arial"/>
          <w:sz w:val="22"/>
        </w:rPr>
        <w:t>：运营以唯一 ID 为单位，结合后台数据与上传凭证，完成全量通告核验，逐条标记有效 / 无效状态及原因：</w:t>
      </w:r>
    </w:p>
    <w:p w14:paraId="443F3CE3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hint="eastAsia" w:ascii="Arial" w:hAnsi="Arial" w:eastAsia="等线" w:cs="Arial"/>
          <w:sz w:val="22"/>
          <w:lang w:eastAsia="zh-CN"/>
        </w:rPr>
        <w:t>有效通告</w:t>
      </w:r>
      <w:r>
        <w:rPr>
          <w:rFonts w:ascii="Arial" w:hAnsi="Arial" w:eastAsia="等线" w:cs="Arial"/>
          <w:sz w:val="22"/>
        </w:rPr>
        <w:t>校验：核对通告信息完整性、是否主动下架，执行项目重合度判定与数量上限规则，核验外群录屏凭证有效性</w:t>
      </w:r>
    </w:p>
    <w:p w14:paraId="6973B0A2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hint="eastAsia" w:ascii="Arial" w:hAnsi="Arial" w:eastAsia="等线" w:cs="Arial"/>
          <w:sz w:val="22"/>
          <w:lang w:eastAsia="zh-CN"/>
        </w:rPr>
        <w:t>新增签约</w:t>
      </w:r>
      <w:r>
        <w:rPr>
          <w:rFonts w:ascii="Arial" w:hAnsi="Arial" w:eastAsia="等线" w:cs="Arial"/>
          <w:sz w:val="22"/>
        </w:rPr>
        <w:t>校验：进入单条通告详情，核对签约人员资料完整度、岗位匹配度，比对历史签约人员库，确认新增人员要求</w:t>
      </w:r>
    </w:p>
    <w:p w14:paraId="5C29E4E5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每周四 18:00 前</w:t>
      </w:r>
      <w:r>
        <w:rPr>
          <w:rFonts w:ascii="Arial" w:hAnsi="Arial" w:eastAsia="等线" w:cs="Arial"/>
          <w:sz w:val="22"/>
        </w:rPr>
        <w:t>：运营根据核验结果生成个人当期预结算明细，标注</w:t>
      </w:r>
      <w:r>
        <w:rPr>
          <w:rFonts w:hint="eastAsia" w:ascii="Arial" w:hAnsi="Arial" w:eastAsia="等线" w:cs="Arial"/>
          <w:sz w:val="22"/>
          <w:lang w:eastAsia="zh-CN"/>
        </w:rPr>
        <w:t>有效通告</w:t>
      </w:r>
      <w:r>
        <w:rPr>
          <w:rFonts w:ascii="Arial" w:hAnsi="Arial" w:eastAsia="等线" w:cs="Arial"/>
          <w:sz w:val="22"/>
        </w:rPr>
        <w:t>条数、</w:t>
      </w:r>
      <w:r>
        <w:rPr>
          <w:rFonts w:hint="eastAsia" w:ascii="Arial" w:hAnsi="Arial" w:eastAsia="等线" w:cs="Arial"/>
          <w:sz w:val="22"/>
          <w:lang w:eastAsia="zh-CN"/>
        </w:rPr>
        <w:t>新增签约</w:t>
      </w:r>
      <w:r>
        <w:rPr>
          <w:rFonts w:ascii="Arial" w:hAnsi="Arial" w:eastAsia="等线" w:cs="Arial"/>
          <w:sz w:val="22"/>
        </w:rPr>
        <w:t>条数、单项金额、总奖励金额、无效项原因，由客服同步发送给对应经纪。</w:t>
      </w:r>
    </w:p>
    <w:p w14:paraId="40643651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4.3 异议申诉与复核流程</w:t>
      </w:r>
      <w:bookmarkEnd w:id="6"/>
    </w:p>
    <w:p w14:paraId="0A2BB4CC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申诉时效</w:t>
      </w:r>
      <w:r>
        <w:rPr>
          <w:rFonts w:ascii="Arial" w:hAnsi="Arial" w:eastAsia="等线" w:cs="Arial"/>
          <w:sz w:val="22"/>
        </w:rPr>
        <w:t>：经纪收到预结算明细后，需在</w:t>
      </w:r>
      <w:r>
        <w:rPr>
          <w:rFonts w:ascii="Arial" w:hAnsi="Arial" w:eastAsia="等线" w:cs="Arial"/>
          <w:b/>
          <w:sz w:val="22"/>
        </w:rPr>
        <w:t>每周五 12:00 前</w:t>
      </w:r>
      <w:r>
        <w:rPr>
          <w:rFonts w:ascii="Arial" w:hAnsi="Arial" w:eastAsia="等线" w:cs="Arial"/>
          <w:sz w:val="22"/>
        </w:rPr>
        <w:t>向客服提交异议申请，逾期未提交视为认可当期结算结果。</w:t>
      </w:r>
    </w:p>
    <w:p w14:paraId="58D5EEB6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申诉要求</w:t>
      </w:r>
      <w:r>
        <w:rPr>
          <w:rFonts w:ascii="Arial" w:hAnsi="Arial" w:eastAsia="等线" w:cs="Arial"/>
          <w:sz w:val="22"/>
        </w:rPr>
        <w:t>：需针对具体单条通告提交异议，同步附上对应佐证材料（补充凭证、通告详情截图、签约沟通记录等）；无明确指向、无佐证材料的申诉不予受理。</w:t>
      </w:r>
    </w:p>
    <w:p w14:paraId="5C01FBFE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分级复核处理</w:t>
      </w:r>
      <w:r>
        <w:rPr>
          <w:rFonts w:ascii="Arial" w:hAnsi="Arial" w:eastAsia="等线" w:cs="Arial"/>
          <w:sz w:val="22"/>
        </w:rPr>
        <w:t>：</w:t>
      </w:r>
    </w:p>
    <w:p w14:paraId="6C4B422F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简单异议（凭证漏审、数据统计误差、信息识别偏差）：运营当日完成后台数据复核与凭证核验，</w:t>
      </w:r>
      <w:r>
        <w:rPr>
          <w:rFonts w:ascii="Arial" w:hAnsi="Arial" w:eastAsia="等线" w:cs="Arial"/>
          <w:b/>
          <w:sz w:val="22"/>
        </w:rPr>
        <w:t>每周五 17:00 前</w:t>
      </w:r>
      <w:r>
        <w:rPr>
          <w:rFonts w:ascii="Arial" w:hAnsi="Arial" w:eastAsia="等线" w:cs="Arial"/>
          <w:sz w:val="22"/>
        </w:rPr>
        <w:t>由客服反馈复核结果，修正数据纳入当期最终结算。</w:t>
      </w:r>
    </w:p>
    <w:p w14:paraId="569F6C6A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复杂异议（项目重合度判定、新增人员身份争议、违规判定异议）：运营统一登记异议台账，于</w:t>
      </w:r>
      <w:r>
        <w:rPr>
          <w:rFonts w:ascii="Arial" w:hAnsi="Arial" w:eastAsia="等线" w:cs="Arial"/>
          <w:b/>
          <w:sz w:val="22"/>
        </w:rPr>
        <w:t>次周周一 18:00 前</w:t>
      </w:r>
      <w:r>
        <w:rPr>
          <w:rFonts w:ascii="Arial" w:hAnsi="Arial" w:eastAsia="等线" w:cs="Arial"/>
          <w:sz w:val="22"/>
        </w:rPr>
        <w:t>完成深度复核并反馈结果；对应奖励调整后并入下一期结算发放。</w:t>
      </w:r>
    </w:p>
    <w:p w14:paraId="0BC0C2F9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最终裁定</w:t>
      </w:r>
      <w:r>
        <w:rPr>
          <w:rFonts w:ascii="Arial" w:hAnsi="Arial" w:eastAsia="等线" w:cs="Arial"/>
          <w:sz w:val="22"/>
        </w:rPr>
        <w:t>：同一通告仅可提交一次异议申诉，复核结果为最终判定，不再接受重复申诉。</w:t>
      </w:r>
    </w:p>
    <w:p w14:paraId="0C6C4888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4.4 结算发放与归档</w:t>
      </w:r>
      <w:bookmarkEnd w:id="7"/>
    </w:p>
    <w:p w14:paraId="2BAA9D50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每周五</w:t>
      </w:r>
      <w:r>
        <w:rPr>
          <w:rFonts w:ascii="Arial" w:hAnsi="Arial" w:eastAsia="等线" w:cs="Arial"/>
          <w:sz w:val="22"/>
        </w:rPr>
        <w:t>：运营汇总当期所有无异议 + 已复核修正的结算清单，提交财务申请奖励资金。</w:t>
      </w:r>
    </w:p>
    <w:p w14:paraId="36D7FFA6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财务审批通过后，以微信红包 / 转账形式逐笔发放，统一备注「X 周业务奖励」；发放完成后将流水同步至运营。</w:t>
      </w:r>
    </w:p>
    <w:p w14:paraId="5E9E7673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运营在后台对应 ID 下标记当期结算状态为「已完成」，将结算明细、凭证文件、发放流水、异议记录同步归档至专项台账。</w:t>
      </w:r>
    </w:p>
    <w:p w14:paraId="582AEC7B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五、引荐奖励结算流程（仅适用于已解锁引荐权限的种子经纪）</w:t>
      </w:r>
      <w:bookmarkEnd w:id="8"/>
    </w:p>
    <w:p w14:paraId="3491E74C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5.1 引荐关系绑定流程</w:t>
      </w:r>
      <w:bookmarkEnd w:id="9"/>
    </w:p>
    <w:p w14:paraId="081714D9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种子经纪引荐新经纪入驻后，向客服提供被引荐人手机号与引荐关系说明。</w:t>
      </w:r>
    </w:p>
    <w:p w14:paraId="58F7CAA7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运营核实双方身份信息，确认被引荐人完成注册、实名、协议签署后，在后台为双方绑定永久上下级引荐关系。</w:t>
      </w:r>
    </w:p>
    <w:p w14:paraId="1AB610F4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客服同步告知双方引荐关系绑定成功，明确奖励规则与结算周期。</w:t>
      </w:r>
    </w:p>
    <w:p w14:paraId="0A0B4EBA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5.2 周度常规结算流程</w:t>
      </w:r>
      <w:bookmarkEnd w:id="10"/>
    </w:p>
    <w:p w14:paraId="59F7361F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每周三，运营同步完成所有被引荐经纪的个人业务数据核验，规则、标准与个人业务结算完全一致。</w:t>
      </w:r>
    </w:p>
    <w:p w14:paraId="31B0F76F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每周四</w:t>
      </w:r>
      <w:r>
        <w:rPr>
          <w:rFonts w:ascii="Arial" w:hAnsi="Arial" w:eastAsia="等线" w:cs="Arial"/>
          <w:sz w:val="22"/>
        </w:rPr>
        <w:t>：运营以引荐人 ID 为单位，逐一核对其名下所有被引荐人的当期业绩数据，核算对应引荐奖励：</w:t>
      </w:r>
    </w:p>
    <w:p w14:paraId="1AE5F1B8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引荐基础达标奖（一次性）：被引荐人入驻首季度内，首次累计达成「6 条</w:t>
      </w:r>
      <w:r>
        <w:rPr>
          <w:rFonts w:hint="eastAsia" w:ascii="Arial" w:hAnsi="Arial" w:eastAsia="等线" w:cs="Arial"/>
          <w:sz w:val="22"/>
          <w:lang w:eastAsia="zh-CN"/>
        </w:rPr>
        <w:t>有效通告</w:t>
      </w:r>
      <w:r>
        <w:rPr>
          <w:rFonts w:ascii="Arial" w:hAnsi="Arial" w:eastAsia="等线" w:cs="Arial"/>
          <w:sz w:val="22"/>
        </w:rPr>
        <w:t xml:space="preserve"> + 2 条</w:t>
      </w:r>
      <w:r>
        <w:rPr>
          <w:rFonts w:hint="eastAsia" w:ascii="Arial" w:hAnsi="Arial" w:eastAsia="等线" w:cs="Arial"/>
          <w:sz w:val="22"/>
          <w:lang w:eastAsia="zh-CN"/>
        </w:rPr>
        <w:t>新增签约</w:t>
      </w:r>
      <w:r>
        <w:rPr>
          <w:rFonts w:ascii="Arial" w:hAnsi="Arial" w:eastAsia="等线" w:cs="Arial"/>
          <w:sz w:val="22"/>
        </w:rPr>
        <w:t>」且无违规记录，一次性计提 10 元 / 人基础达标奖</w:t>
      </w:r>
    </w:p>
    <w:p w14:paraId="563F071C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引荐成交增量奖：被引荐人入驻首季度内，每新增 1 条</w:t>
      </w:r>
      <w:r>
        <w:rPr>
          <w:rFonts w:hint="eastAsia" w:ascii="Arial" w:hAnsi="Arial" w:eastAsia="等线" w:cs="Arial"/>
          <w:sz w:val="22"/>
          <w:lang w:eastAsia="zh-CN"/>
        </w:rPr>
        <w:t>新增签约</w:t>
      </w:r>
      <w:r>
        <w:rPr>
          <w:rFonts w:ascii="Arial" w:hAnsi="Arial" w:eastAsia="等线" w:cs="Arial"/>
          <w:sz w:val="22"/>
        </w:rPr>
        <w:t>通告，按 1 元 / 条标准计提增量奖励，上不封顶</w:t>
      </w:r>
    </w:p>
    <w:p w14:paraId="44CA63F5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运营生成引荐奖励预结算明细，标注被引荐人当期业绩、对应奖励项及总金额，与个人业务明细同步由客服发送给引荐种子经纪。</w:t>
      </w:r>
    </w:p>
    <w:p w14:paraId="47567435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5.3 异议申诉与复核流程</w:t>
      </w:r>
      <w:bookmarkEnd w:id="11"/>
    </w:p>
    <w:p w14:paraId="1A7A0081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申诉时效</w:t>
      </w:r>
      <w:r>
        <w:rPr>
          <w:rFonts w:ascii="Arial" w:hAnsi="Arial" w:eastAsia="等线" w:cs="Arial"/>
          <w:sz w:val="22"/>
        </w:rPr>
        <w:t>：引荐人收到预结算明细后，需在</w:t>
      </w:r>
      <w:r>
        <w:rPr>
          <w:rFonts w:ascii="Arial" w:hAnsi="Arial" w:eastAsia="等线" w:cs="Arial"/>
          <w:b/>
          <w:sz w:val="22"/>
        </w:rPr>
        <w:t>每周五 12:00 前</w:t>
      </w:r>
      <w:r>
        <w:rPr>
          <w:rFonts w:ascii="Arial" w:hAnsi="Arial" w:eastAsia="等线" w:cs="Arial"/>
          <w:sz w:val="22"/>
        </w:rPr>
        <w:t>向客服提交异议申请，逾期未提交视为认可当期结算结果。</w:t>
      </w:r>
    </w:p>
    <w:p w14:paraId="6F163162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申诉要求</w:t>
      </w:r>
      <w:r>
        <w:rPr>
          <w:rFonts w:ascii="Arial" w:hAnsi="Arial" w:eastAsia="等线" w:cs="Arial"/>
          <w:sz w:val="22"/>
        </w:rPr>
        <w:t>：需针对具体某名被引荐人的业绩或奖励项提交异议，同步附上对应佐证材料；无明确指向、无佐证材料的申诉不予受理。</w:t>
      </w:r>
    </w:p>
    <w:p w14:paraId="63BA7233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分级复核处理</w:t>
      </w:r>
      <w:r>
        <w:rPr>
          <w:rFonts w:ascii="Arial" w:hAnsi="Arial" w:eastAsia="等线" w:cs="Arial"/>
          <w:sz w:val="22"/>
        </w:rPr>
        <w:t>：</w:t>
      </w:r>
    </w:p>
    <w:p w14:paraId="0A2AF020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简单异议（数据统计误差、达标节点判定偏差）：运营当日完成后台数据复核，</w:t>
      </w:r>
      <w:r>
        <w:rPr>
          <w:rFonts w:ascii="Arial" w:hAnsi="Arial" w:eastAsia="等线" w:cs="Arial"/>
          <w:b/>
          <w:sz w:val="22"/>
        </w:rPr>
        <w:t>每周五 17:00 前</w:t>
      </w:r>
      <w:r>
        <w:rPr>
          <w:rFonts w:ascii="Arial" w:hAnsi="Arial" w:eastAsia="等线" w:cs="Arial"/>
          <w:sz w:val="22"/>
        </w:rPr>
        <w:t>由客服反馈复核结果，修正数据纳入当期最终结算。</w:t>
      </w:r>
    </w:p>
    <w:p w14:paraId="15A5FDD3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复杂异议（引荐关系归属争议、违规连带处罚异议）：运营统一登记台账，于</w:t>
      </w:r>
      <w:r>
        <w:rPr>
          <w:rFonts w:ascii="Arial" w:hAnsi="Arial" w:eastAsia="等线" w:cs="Arial"/>
          <w:b/>
          <w:sz w:val="22"/>
        </w:rPr>
        <w:t>次周周一 18:00 前</w:t>
      </w:r>
      <w:r>
        <w:rPr>
          <w:rFonts w:ascii="Arial" w:hAnsi="Arial" w:eastAsia="等线" w:cs="Arial"/>
          <w:sz w:val="22"/>
        </w:rPr>
        <w:t>完成深度复核并反馈结果；对应奖励调整后并入下一期结算发放。</w:t>
      </w:r>
    </w:p>
    <w:p w14:paraId="3AFA95CD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最终裁定</w:t>
      </w:r>
      <w:r>
        <w:rPr>
          <w:rFonts w:ascii="Arial" w:hAnsi="Arial" w:eastAsia="等线" w:cs="Arial"/>
          <w:sz w:val="22"/>
        </w:rPr>
        <w:t>：同一被引荐人的同一奖励项仅可提交一次异议申诉，复核结果为最终判定。</w:t>
      </w:r>
    </w:p>
    <w:p w14:paraId="026A7D3D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5.4 结算发放与归档</w:t>
      </w:r>
      <w:bookmarkEnd w:id="12"/>
    </w:p>
    <w:p w14:paraId="1AB07417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每周五</w:t>
      </w:r>
      <w:r>
        <w:rPr>
          <w:rFonts w:ascii="Arial" w:hAnsi="Arial" w:eastAsia="等线" w:cs="Arial"/>
          <w:sz w:val="22"/>
        </w:rPr>
        <w:t>：引荐奖励与个人业务奖励同步完成清单汇总、财务申请与资金发放，统一备注「X 周引荐奖励」。</w:t>
      </w:r>
    </w:p>
    <w:p w14:paraId="27F1FDA9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发放完成后，运营在引荐人与被引荐人 ID 下同步更新结算状态，留存凭证归档。</w:t>
      </w:r>
    </w:p>
    <w:p w14:paraId="077D1A09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若被引荐人首次达标且符合种子晋升条件，运营同步更新其身份标记，解锁对应引荐权限并由客服告知双方。</w:t>
      </w:r>
    </w:p>
    <w:p w14:paraId="422094E3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六、核心审核判定标准（统一执行）</w:t>
      </w:r>
      <w:bookmarkEnd w:id="13"/>
    </w:p>
    <w:p w14:paraId="14127C17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6.1 准入资质核验标准</w:t>
      </w:r>
      <w:bookmarkEnd w:id="14"/>
    </w:p>
    <w:p w14:paraId="19210914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基础要求</w:t>
      </w:r>
      <w:r>
        <w:rPr>
          <w:rFonts w:ascii="Arial" w:hAnsi="Arial" w:eastAsia="等线" w:cs="Arial"/>
          <w:sz w:val="22"/>
        </w:rPr>
        <w:t>：完成平台账号注册与身份证实名认证，无虚假通告、违约投诉等历史违规记录。</w:t>
      </w:r>
    </w:p>
    <w:p w14:paraId="5F5A8897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业务能力要求</w:t>
      </w:r>
      <w:r>
        <w:rPr>
          <w:rFonts w:ascii="Arial" w:hAnsi="Arial" w:eastAsia="等线" w:cs="Arial"/>
          <w:sz w:val="22"/>
        </w:rPr>
        <w:t>：近 30 天内月均有效通告发布量≥2 单；</w:t>
      </w:r>
    </w:p>
    <w:p w14:paraId="3B62638B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平台自有群内经纪：以群内历史发布记录为准；</w:t>
      </w:r>
    </w:p>
    <w:p w14:paraId="6C871A4C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非自有群经纪：以群聊搜索本人账号的历史发布记录截图为准，需清晰展示发布时间与通告内容。</w:t>
      </w:r>
      <w:bookmarkStart w:id="21" w:name="_GoBack"/>
      <w:bookmarkEnd w:id="21"/>
    </w:p>
    <w:p w14:paraId="3FBACCDB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 xml:space="preserve">6.2 </w:t>
      </w:r>
      <w:r>
        <w:rPr>
          <w:rFonts w:hint="eastAsia" w:ascii="Arial" w:hAnsi="Arial" w:eastAsia="等线" w:cs="Arial"/>
          <w:b/>
          <w:sz w:val="30"/>
          <w:lang w:eastAsia="zh-CN"/>
        </w:rPr>
        <w:t>有效通告</w:t>
      </w:r>
      <w:r>
        <w:rPr>
          <w:rFonts w:ascii="Arial" w:hAnsi="Arial" w:eastAsia="等线" w:cs="Arial"/>
          <w:b/>
          <w:sz w:val="30"/>
        </w:rPr>
        <w:t>判定标准（1 元 / 条）</w:t>
      </w:r>
      <w:bookmarkEnd w:id="15"/>
    </w:p>
    <w:p w14:paraId="70000A38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信息完整：通告包含内容、类型、性别要求、招募人数、地址、时间、薪资核心要素。</w:t>
      </w:r>
    </w:p>
    <w:p w14:paraId="3A65499C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凭证合规：提供完整转发录屏（含群聊入口进入、消息完整展示全过程），对应微信群人数≥300 人，清晰显示群名、发布时间、完整通告内容。</w:t>
      </w:r>
    </w:p>
    <w:p w14:paraId="4AB7CB97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状态有效：通告发布后未主动关闭、下架，全程保持公开可报名状态。</w:t>
      </w:r>
    </w:p>
    <w:p w14:paraId="288724F1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项目合并规则：同一经纪发布的通告，工作地址、核心档期、岗位类型重合度≥70%，判定为同一项目；单项目最多计 2 条</w:t>
      </w:r>
      <w:r>
        <w:rPr>
          <w:rFonts w:hint="eastAsia" w:ascii="Arial" w:hAnsi="Arial" w:eastAsia="等线" w:cs="Arial"/>
          <w:sz w:val="22"/>
          <w:lang w:eastAsia="zh-CN"/>
        </w:rPr>
        <w:t>有效通告</w:t>
      </w:r>
      <w:r>
        <w:rPr>
          <w:rFonts w:ascii="Arial" w:hAnsi="Arial" w:eastAsia="等线" w:cs="Arial"/>
          <w:sz w:val="22"/>
        </w:rPr>
        <w:t>，超出部分不计奖。</w:t>
      </w:r>
    </w:p>
    <w:p w14:paraId="54ECF40A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数量上限：单账号单日</w:t>
      </w:r>
      <w:r>
        <w:rPr>
          <w:rFonts w:hint="eastAsia" w:ascii="Arial" w:hAnsi="Arial" w:eastAsia="等线" w:cs="Arial"/>
          <w:sz w:val="22"/>
          <w:lang w:eastAsia="zh-CN"/>
        </w:rPr>
        <w:t>有效通告</w:t>
      </w:r>
      <w:r>
        <w:rPr>
          <w:rFonts w:ascii="Arial" w:hAnsi="Arial" w:eastAsia="等线" w:cs="Arial"/>
          <w:sz w:val="22"/>
        </w:rPr>
        <w:t>最多计 3 条，单周最多计 12 条，超出部分不计奖。</w:t>
      </w:r>
    </w:p>
    <w:p w14:paraId="19FC6B1F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无违规：无用户举报虚假信息，或举报经核实不成立。</w:t>
      </w:r>
    </w:p>
    <w:p w14:paraId="4848A6D8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 xml:space="preserve">6.3 </w:t>
      </w:r>
      <w:r>
        <w:rPr>
          <w:rFonts w:hint="eastAsia" w:ascii="Arial" w:hAnsi="Arial" w:eastAsia="等线" w:cs="Arial"/>
          <w:b/>
          <w:sz w:val="30"/>
          <w:lang w:eastAsia="zh-CN"/>
        </w:rPr>
        <w:t>新增签约</w:t>
      </w:r>
      <w:r>
        <w:rPr>
          <w:rFonts w:ascii="Arial" w:hAnsi="Arial" w:eastAsia="等线" w:cs="Arial"/>
          <w:b/>
          <w:sz w:val="30"/>
        </w:rPr>
        <w:t>判定标准（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追加2元/条</w:t>
      </w:r>
      <w:r>
        <w:rPr>
          <w:rFonts w:ascii="Arial" w:hAnsi="Arial" w:eastAsia="等线" w:cs="Arial"/>
          <w:b/>
          <w:sz w:val="30"/>
        </w:rPr>
        <w:t>）</w:t>
      </w:r>
      <w:bookmarkEnd w:id="16"/>
    </w:p>
    <w:p w14:paraId="43FF15A0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基础有效：对应通告本身满足</w:t>
      </w:r>
      <w:r>
        <w:rPr>
          <w:rFonts w:hint="eastAsia" w:ascii="Arial" w:hAnsi="Arial" w:eastAsia="等线" w:cs="Arial"/>
          <w:sz w:val="22"/>
          <w:lang w:eastAsia="zh-CN"/>
        </w:rPr>
        <w:t>有效通告</w:t>
      </w:r>
      <w:r>
        <w:rPr>
          <w:rFonts w:ascii="Arial" w:hAnsi="Arial" w:eastAsia="等线" w:cs="Arial"/>
          <w:sz w:val="22"/>
        </w:rPr>
        <w:t>全部条件。</w:t>
      </w:r>
    </w:p>
    <w:p w14:paraId="20F560B3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人员匹配：签约人员主页信息完整，自身条件与通告招聘要求完全匹配。</w:t>
      </w:r>
    </w:p>
    <w:p w14:paraId="1D7CB24C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新增人员要求：签约人员中包含至少 1 名本季度内首次合作的人员；100% 为历史合作人员的通告不计入</w:t>
      </w:r>
      <w:r>
        <w:rPr>
          <w:rFonts w:hint="eastAsia" w:ascii="Arial" w:hAnsi="Arial" w:eastAsia="等线" w:cs="Arial"/>
          <w:sz w:val="22"/>
          <w:lang w:eastAsia="zh-CN"/>
        </w:rPr>
        <w:t>新增签约</w:t>
      </w:r>
      <w:r>
        <w:rPr>
          <w:rFonts w:ascii="Arial" w:hAnsi="Arial" w:eastAsia="等线" w:cs="Arial"/>
          <w:sz w:val="22"/>
        </w:rPr>
        <w:t>。</w:t>
      </w:r>
    </w:p>
    <w:p w14:paraId="6DA44751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6.4 引荐权限解锁标准</w:t>
      </w:r>
      <w:bookmarkEnd w:id="17"/>
    </w:p>
    <w:p w14:paraId="34AAF7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种子经纪单季度内累计完成≥6 条</w:t>
      </w:r>
      <w:r>
        <w:rPr>
          <w:rFonts w:hint="eastAsia" w:ascii="Arial" w:hAnsi="Arial" w:eastAsia="等线" w:cs="Arial"/>
          <w:sz w:val="22"/>
          <w:lang w:eastAsia="zh-CN"/>
        </w:rPr>
        <w:t>有效通告</w:t>
      </w:r>
      <w:r>
        <w:rPr>
          <w:rFonts w:ascii="Arial" w:hAnsi="Arial" w:eastAsia="等线" w:cs="Arial"/>
          <w:sz w:val="22"/>
        </w:rPr>
        <w:t xml:space="preserve"> +≥2 条</w:t>
      </w:r>
      <w:r>
        <w:rPr>
          <w:rFonts w:hint="eastAsia" w:ascii="Arial" w:hAnsi="Arial" w:eastAsia="等线" w:cs="Arial"/>
          <w:sz w:val="22"/>
          <w:lang w:eastAsia="zh-CN"/>
        </w:rPr>
        <w:t>新增签约</w:t>
      </w:r>
      <w:r>
        <w:rPr>
          <w:rFonts w:ascii="Arial" w:hAnsi="Arial" w:eastAsia="等线" w:cs="Arial"/>
          <w:sz w:val="22"/>
        </w:rPr>
        <w:t>，自动解锁引荐权限。</w:t>
      </w:r>
    </w:p>
    <w:p w14:paraId="470F836A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6.5 引荐奖励判定标准（仅核算被引荐人入驻首季度）</w:t>
      </w:r>
      <w:bookmarkEnd w:id="18"/>
    </w:p>
    <w:p w14:paraId="7A3F874E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引荐基础达标奖：10 元 / 人（一次性发放）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触发条件：被引荐人首季度内首次累计完成 6 条</w:t>
      </w:r>
      <w:r>
        <w:rPr>
          <w:rFonts w:hint="eastAsia" w:ascii="Arial" w:hAnsi="Arial" w:eastAsia="等线" w:cs="Arial"/>
          <w:sz w:val="22"/>
          <w:lang w:eastAsia="zh-CN"/>
        </w:rPr>
        <w:t>有效通告</w:t>
      </w:r>
      <w:r>
        <w:rPr>
          <w:rFonts w:ascii="Arial" w:hAnsi="Arial" w:eastAsia="等线" w:cs="Arial"/>
          <w:sz w:val="22"/>
        </w:rPr>
        <w:t xml:space="preserve"> + 2 条</w:t>
      </w:r>
      <w:r>
        <w:rPr>
          <w:rFonts w:hint="eastAsia" w:ascii="Arial" w:hAnsi="Arial" w:eastAsia="等线" w:cs="Arial"/>
          <w:sz w:val="22"/>
          <w:lang w:eastAsia="zh-CN"/>
        </w:rPr>
        <w:t>新增签约</w:t>
      </w:r>
      <w:r>
        <w:rPr>
          <w:rFonts w:ascii="Arial" w:hAnsi="Arial" w:eastAsia="等线" w:cs="Arial"/>
          <w:sz w:val="22"/>
        </w:rPr>
        <w:t>，且无违规记录，达标当周一次性结算发放，单个被引荐人仅发放一次。</w:t>
      </w:r>
    </w:p>
    <w:p w14:paraId="65181D06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引荐成交增量奖：1 元 / 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触发条件：被引荐人首季度内，每新增 1 条</w:t>
      </w:r>
      <w:r>
        <w:rPr>
          <w:rFonts w:hint="eastAsia" w:ascii="Arial" w:hAnsi="Arial" w:eastAsia="等线" w:cs="Arial"/>
          <w:sz w:val="22"/>
          <w:lang w:eastAsia="zh-CN"/>
        </w:rPr>
        <w:t>新增签约</w:t>
      </w:r>
      <w:r>
        <w:rPr>
          <w:rFonts w:ascii="Arial" w:hAnsi="Arial" w:eastAsia="等线" w:cs="Arial"/>
          <w:sz w:val="22"/>
        </w:rPr>
        <w:t>通告，对应计提 1 元奖励，随每周结算同步发放，首季度内上不封顶。</w:t>
      </w:r>
    </w:p>
    <w:p w14:paraId="7D5021C7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违规连带规则：若被引荐人存在虚假通告、刷单等违规行为，取消对应引荐全部奖励；情节严重的，连带取消引荐人种子资格。</w:t>
      </w:r>
    </w:p>
    <w:p w14:paraId="33447F62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七、台账与档案管理规范</w:t>
      </w:r>
      <w:bookmarkEnd w:id="19"/>
    </w:p>
    <w:p w14:paraId="2749943A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所有结算相关资料（凭证、结算明细、异议记录、发放流水）均按唯一 ID 分类归档，电子档永久留存。</w:t>
      </w:r>
    </w:p>
    <w:p w14:paraId="11223234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运营每周更新专项结算台账，确保数据可追溯、可核对；每月与财务完成月度对账。</w:t>
      </w:r>
    </w:p>
    <w:p w14:paraId="6D5BBF90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违规账号、异常账号单独建立风险台账，标记风险原因与处理结果。</w:t>
      </w:r>
    </w:p>
    <w:p w14:paraId="17F87F57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经纪入驻资质核验材料（群内发布记录、外群发布凭证）同步归档至对应 ID 的资质档案，留存备查。</w:t>
      </w:r>
    </w:p>
    <w:p w14:paraId="2B03A65F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八、附则</w:t>
      </w:r>
      <w:bookmarkEnd w:id="20"/>
    </w:p>
    <w:p w14:paraId="5E2768FA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 SOP 由平台运营部负责解释与修订，规则调整将提前 3 天公示并同步更新 SOP。</w:t>
      </w:r>
    </w:p>
    <w:p w14:paraId="2EB36827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 SOP 自第一期种子经纪计划启动之日起正式执行。</w:t>
      </w:r>
    </w:p>
    <w:p w14:paraId="2B511FBA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5807C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40863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B53F3350"/>
    <w:multiLevelType w:val="singleLevel"/>
    <w:tmpl w:val="B53F335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B8CEF35B"/>
    <w:multiLevelType w:val="singleLevel"/>
    <w:tmpl w:val="B8CEF3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BB64CFA9"/>
    <w:multiLevelType w:val="singleLevel"/>
    <w:tmpl w:val="BB64CF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D7D140E4"/>
    <w:multiLevelType w:val="singleLevel"/>
    <w:tmpl w:val="D7D140E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F0E89278"/>
    <w:multiLevelType w:val="singleLevel"/>
    <w:tmpl w:val="F0E8927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6">
    <w:nsid w:val="03A63A41"/>
    <w:multiLevelType w:val="singleLevel"/>
    <w:tmpl w:val="03A63A4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0709FD3E"/>
    <w:multiLevelType w:val="singleLevel"/>
    <w:tmpl w:val="0709FD3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0CEF100B"/>
    <w:multiLevelType w:val="singleLevel"/>
    <w:tmpl w:val="0CEF100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">
    <w:nsid w:val="0E640482"/>
    <w:multiLevelType w:val="singleLevel"/>
    <w:tmpl w:val="0E64048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1">
    <w:nsid w:val="0F9F9CCA"/>
    <w:multiLevelType w:val="singleLevel"/>
    <w:tmpl w:val="0F9F9CC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2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1C257C7B"/>
    <w:multiLevelType w:val="singleLevel"/>
    <w:tmpl w:val="1C257C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23E97754"/>
    <w:multiLevelType w:val="singleLevel"/>
    <w:tmpl w:val="23E977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">
    <w:nsid w:val="2470EC97"/>
    <w:multiLevelType w:val="singleLevel"/>
    <w:tmpl w:val="2470E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7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9">
    <w:nsid w:val="30FC5B15"/>
    <w:multiLevelType w:val="singleLevel"/>
    <w:tmpl w:val="30FC5B1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0">
    <w:nsid w:val="322D85CA"/>
    <w:multiLevelType w:val="singleLevel"/>
    <w:tmpl w:val="322D85C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1">
    <w:nsid w:val="32A7AF2D"/>
    <w:multiLevelType w:val="singleLevel"/>
    <w:tmpl w:val="32A7AF2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35E83B33"/>
    <w:multiLevelType w:val="singleLevel"/>
    <w:tmpl w:val="35E83B3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3">
    <w:nsid w:val="39A0D9AC"/>
    <w:multiLevelType w:val="singleLevel"/>
    <w:tmpl w:val="39A0D9A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4">
    <w:nsid w:val="40B249F9"/>
    <w:multiLevelType w:val="singleLevel"/>
    <w:tmpl w:val="40B249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5">
    <w:nsid w:val="46A08BB8"/>
    <w:multiLevelType w:val="singleLevel"/>
    <w:tmpl w:val="46A08B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6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4C3D7A74"/>
    <w:multiLevelType w:val="singleLevel"/>
    <w:tmpl w:val="4C3D7A7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8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0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1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2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3">
    <w:nsid w:val="5E29AB5A"/>
    <w:multiLevelType w:val="singleLevel"/>
    <w:tmpl w:val="5E29AB5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4">
    <w:nsid w:val="5FFFB1A7"/>
    <w:multiLevelType w:val="singleLevel"/>
    <w:tmpl w:val="5FFFB1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5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6">
    <w:nsid w:val="629F7852"/>
    <w:multiLevelType w:val="singleLevel"/>
    <w:tmpl w:val="629F78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7">
    <w:nsid w:val="65CD0074"/>
    <w:multiLevelType w:val="singleLevel"/>
    <w:tmpl w:val="65CD007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8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9">
    <w:nsid w:val="74C28B35"/>
    <w:multiLevelType w:val="singleLevel"/>
    <w:tmpl w:val="74C28B3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0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1">
    <w:nsid w:val="79AA4FA4"/>
    <w:multiLevelType w:val="singleLevel"/>
    <w:tmpl w:val="79AA4FA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2">
    <w:nsid w:val="7C246926"/>
    <w:multiLevelType w:val="singleLevel"/>
    <w:tmpl w:val="7C2469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3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24"/>
  </w:num>
  <w:num w:numId="2">
    <w:abstractNumId w:val="16"/>
  </w:num>
  <w:num w:numId="3">
    <w:abstractNumId w:val="51"/>
  </w:num>
  <w:num w:numId="4">
    <w:abstractNumId w:val="14"/>
  </w:num>
  <w:num w:numId="5">
    <w:abstractNumId w:val="10"/>
  </w:num>
  <w:num w:numId="6">
    <w:abstractNumId w:val="27"/>
  </w:num>
  <w:num w:numId="7">
    <w:abstractNumId w:val="37"/>
  </w:num>
  <w:num w:numId="8">
    <w:abstractNumId w:val="58"/>
  </w:num>
  <w:num w:numId="9">
    <w:abstractNumId w:val="25"/>
  </w:num>
  <w:num w:numId="10">
    <w:abstractNumId w:val="5"/>
  </w:num>
  <w:num w:numId="11">
    <w:abstractNumId w:val="38"/>
  </w:num>
  <w:num w:numId="12">
    <w:abstractNumId w:val="52"/>
  </w:num>
  <w:num w:numId="13">
    <w:abstractNumId w:val="15"/>
  </w:num>
  <w:num w:numId="14">
    <w:abstractNumId w:val="48"/>
  </w:num>
  <w:num w:numId="15">
    <w:abstractNumId w:val="22"/>
  </w:num>
  <w:num w:numId="16">
    <w:abstractNumId w:val="36"/>
  </w:num>
  <w:num w:numId="17">
    <w:abstractNumId w:val="19"/>
  </w:num>
  <w:num w:numId="18">
    <w:abstractNumId w:val="18"/>
  </w:num>
  <w:num w:numId="19">
    <w:abstractNumId w:val="7"/>
  </w:num>
  <w:num w:numId="20">
    <w:abstractNumId w:val="46"/>
  </w:num>
  <w:num w:numId="21">
    <w:abstractNumId w:val="55"/>
  </w:num>
  <w:num w:numId="22">
    <w:abstractNumId w:val="30"/>
  </w:num>
  <w:num w:numId="23">
    <w:abstractNumId w:val="45"/>
  </w:num>
  <w:num w:numId="24">
    <w:abstractNumId w:val="8"/>
  </w:num>
  <w:num w:numId="25">
    <w:abstractNumId w:val="62"/>
  </w:num>
  <w:num w:numId="26">
    <w:abstractNumId w:val="60"/>
  </w:num>
  <w:num w:numId="27">
    <w:abstractNumId w:val="13"/>
  </w:num>
  <w:num w:numId="28">
    <w:abstractNumId w:val="56"/>
  </w:num>
  <w:num w:numId="29">
    <w:abstractNumId w:val="6"/>
  </w:num>
  <w:num w:numId="30">
    <w:abstractNumId w:val="43"/>
  </w:num>
  <w:num w:numId="31">
    <w:abstractNumId w:val="2"/>
  </w:num>
  <w:num w:numId="32">
    <w:abstractNumId w:val="50"/>
  </w:num>
  <w:num w:numId="33">
    <w:abstractNumId w:val="63"/>
  </w:num>
  <w:num w:numId="34">
    <w:abstractNumId w:val="0"/>
  </w:num>
  <w:num w:numId="35">
    <w:abstractNumId w:val="35"/>
  </w:num>
  <w:num w:numId="36">
    <w:abstractNumId w:val="49"/>
  </w:num>
  <w:num w:numId="37">
    <w:abstractNumId w:val="23"/>
  </w:num>
  <w:num w:numId="38">
    <w:abstractNumId w:val="20"/>
  </w:num>
  <w:num w:numId="39">
    <w:abstractNumId w:val="39"/>
  </w:num>
  <w:num w:numId="40">
    <w:abstractNumId w:val="61"/>
  </w:num>
  <w:num w:numId="41">
    <w:abstractNumId w:val="12"/>
  </w:num>
  <w:num w:numId="42">
    <w:abstractNumId w:val="4"/>
  </w:num>
  <w:num w:numId="43">
    <w:abstractNumId w:val="11"/>
  </w:num>
  <w:num w:numId="44">
    <w:abstractNumId w:val="53"/>
  </w:num>
  <w:num w:numId="45">
    <w:abstractNumId w:val="1"/>
  </w:num>
  <w:num w:numId="46">
    <w:abstractNumId w:val="32"/>
  </w:num>
  <w:num w:numId="47">
    <w:abstractNumId w:val="3"/>
  </w:num>
  <w:num w:numId="48">
    <w:abstractNumId w:val="54"/>
  </w:num>
  <w:num w:numId="49">
    <w:abstractNumId w:val="59"/>
  </w:num>
  <w:num w:numId="50">
    <w:abstractNumId w:val="47"/>
  </w:num>
  <w:num w:numId="51">
    <w:abstractNumId w:val="40"/>
  </w:num>
  <w:num w:numId="52">
    <w:abstractNumId w:val="57"/>
  </w:num>
  <w:num w:numId="53">
    <w:abstractNumId w:val="28"/>
  </w:num>
  <w:num w:numId="54">
    <w:abstractNumId w:val="29"/>
  </w:num>
  <w:num w:numId="55">
    <w:abstractNumId w:val="17"/>
  </w:num>
  <w:num w:numId="56">
    <w:abstractNumId w:val="41"/>
  </w:num>
  <w:num w:numId="57">
    <w:abstractNumId w:val="33"/>
  </w:num>
  <w:num w:numId="58">
    <w:abstractNumId w:val="21"/>
  </w:num>
  <w:num w:numId="59">
    <w:abstractNumId w:val="34"/>
  </w:num>
  <w:num w:numId="60">
    <w:abstractNumId w:val="9"/>
  </w:num>
  <w:num w:numId="61">
    <w:abstractNumId w:val="44"/>
  </w:num>
  <w:num w:numId="62">
    <w:abstractNumId w:val="31"/>
  </w:num>
  <w:num w:numId="63">
    <w:abstractNumId w:val="42"/>
  </w:num>
  <w:num w:numId="6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0FE1942"/>
    <w:rsid w:val="1AF36C42"/>
    <w:rsid w:val="25FD5084"/>
    <w:rsid w:val="28647510"/>
    <w:rsid w:val="44E42C8E"/>
    <w:rsid w:val="48DC489E"/>
    <w:rsid w:val="4B803689"/>
    <w:rsid w:val="5DED39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3548</Words>
  <Characters>3643</Characters>
  <TotalTime>27</TotalTime>
  <ScaleCrop>false</ScaleCrop>
  <LinksUpToDate>false</LinksUpToDate>
  <CharactersWithSpaces>3768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2026-07-03T02:45:00Z</dcterms:created>
  <dc:creator>Apache POI</dc:creator>
  <cp:lastModifiedBy>Icy_沁沁</cp:lastModifiedBy>
  <dcterms:modified xsi:type="dcterms:W3CDTF">2026-07-08T02:16:20Z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{"Label":"1","ContentProducer":"001191110102MACQD9K64010000","ProduceID":"7658127334818155705","ReservedCode1":"","ContentPropagator":"","PropagateID":"","ReservedCode2":""}</vt:lpwstr>
  </property>
  <property fmtid="{D5CDD505-2E9C-101B-9397-08002B2CF9AE}" pid="3" name="KSOTemplateDocerSaveRecord">
    <vt:lpwstr>eyJoZGlkIjoiMTBkYzUyZWVlMjdhYzcyNTZmZWJlOTA0MjczZTI3YzMiLCJ1c2VySWQiOiI2MjE3MjE2OTEifQ==</vt:lpwstr>
  </property>
  <property fmtid="{D5CDD505-2E9C-101B-9397-08002B2CF9AE}" pid="4" name="KSOProductBuildVer">
    <vt:lpwstr>2052-12.1.0.26895</vt:lpwstr>
  </property>
  <property fmtid="{D5CDD505-2E9C-101B-9397-08002B2CF9AE}" pid="5" name="ICV">
    <vt:lpwstr>B5B361F87C244FDABA2F302AC3513989_12</vt:lpwstr>
  </property>
</Properties>
</file>