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3F6BDA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种子经纪激励计划（第一期）</w:t>
      </w:r>
    </w:p>
    <w:p w14:paraId="13AA3A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（已更新指定防刷规则：项目合并规则、发布数量上限、外群凭证标准）</w:t>
      </w:r>
    </w:p>
    <w:p w14:paraId="64BDD514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一、计划背景</w:t>
      </w:r>
      <w:bookmarkEnd w:id="0"/>
    </w:p>
    <w:p w14:paraId="3629FF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为搭建平台核心经纪合作体系，验证 “业务产出 + 自然裂变” 的闭环模型，同步沉淀优质通告内容、精准用户与私域社群资产，平台启动第一期种子经纪专项激励计划。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本计划优化奖励结构，简化规则链路，以首批 30 名直招种子为启动点，通过 “业务达标解锁引荐权 + 裂变晋升种子身份” 的模式，小步快跑打磨规则、验证裂变效率，为后续规模化扩张与商业化体系落地奠定基础。</w:t>
      </w:r>
    </w:p>
    <w:p w14:paraId="10AD2E8A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二、计划核心要点</w:t>
      </w:r>
      <w:bookmarkEnd w:id="1"/>
    </w:p>
    <w:p w14:paraId="21F5E80A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启动规模</w:t>
      </w:r>
      <w:r>
        <w:rPr>
          <w:rFonts w:ascii="Arial" w:hAnsi="Arial" w:eastAsia="等线" w:cs="Arial"/>
          <w:sz w:val="22"/>
        </w:rPr>
        <w:t>：首批定向招募 30 名核心种子经纪，小体量启动试错，跑通全流程后逐步扩容。</w:t>
      </w:r>
    </w:p>
    <w:p w14:paraId="7534796F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总盘控制</w:t>
      </w:r>
      <w:r>
        <w:rPr>
          <w:rFonts w:ascii="Arial" w:hAnsi="Arial" w:eastAsia="等线" w:cs="Arial"/>
          <w:sz w:val="22"/>
        </w:rPr>
        <w:t>：种子经纪总池规模控制在 100-150 人；其中裂变晋升名额 35-60 人，剩余 35-60 人由平台直招补充，平台全程掌握规模与质量主动权。</w:t>
      </w:r>
    </w:p>
    <w:p w14:paraId="2FFBFFA9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规则简化</w:t>
      </w:r>
      <w:r>
        <w:rPr>
          <w:rFonts w:ascii="Arial" w:hAnsi="Arial" w:eastAsia="等线" w:cs="Arial"/>
          <w:sz w:val="22"/>
        </w:rPr>
        <w:t>：取消单独签约匹配奖，匹配要求全部纳入通告完成奖判定标准，全链路规则清晰易懂，降低运营与用户理解成本。</w:t>
      </w:r>
    </w:p>
    <w:p w14:paraId="49D86FB7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裂变闭环</w:t>
      </w:r>
      <w:r>
        <w:rPr>
          <w:rFonts w:ascii="Arial" w:hAnsi="Arial" w:eastAsia="等线" w:cs="Arial"/>
          <w:sz w:val="22"/>
        </w:rPr>
        <w:t>：种子经纪达标后解锁引荐权限；被引荐人完成业绩达标后，可晋升为正式种子经纪并解锁自身引荐权，形成可复制的自裂变路径。</w:t>
      </w:r>
    </w:p>
    <w:p w14:paraId="0F3A9DE8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预算可控</w:t>
      </w:r>
      <w:r>
        <w:rPr>
          <w:rFonts w:ascii="Arial" w:hAnsi="Arial" w:eastAsia="等线" w:cs="Arial"/>
          <w:sz w:val="22"/>
        </w:rPr>
        <w:t>：计划预算从平台季度利润中划拨，按固定比例专项分配，成本封顶无超支风险，所有补贴为首期扶持，与未来永久分润体系平滑衔接。</w:t>
      </w:r>
    </w:p>
    <w:p w14:paraId="3CE2144D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三、招募筛选与身份体系</w:t>
      </w:r>
      <w:bookmarkEnd w:id="2"/>
    </w:p>
    <w:p w14:paraId="2967B257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3.1 招募渠道</w:t>
      </w:r>
      <w:bookmarkEnd w:id="3"/>
    </w:p>
    <w:p w14:paraId="422D9E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依托平台自有 17 个上海本地精准模特 / 经纪资源群，定向邀约群内活跃经纪入驻。</w:t>
      </w:r>
    </w:p>
    <w:p w14:paraId="2788D5DC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3.2 直招种子准入门槛</w:t>
      </w:r>
      <w:bookmarkEnd w:id="4"/>
    </w:p>
    <w:p w14:paraId="107032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同时满足以下条件，经平台审核通过后可直接成为种子经纪：</w:t>
      </w:r>
    </w:p>
    <w:p w14:paraId="38244B85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业务体量要求</w:t>
      </w:r>
      <w:r>
        <w:rPr>
          <w:rFonts w:ascii="Arial" w:hAnsi="Arial" w:eastAsia="等线" w:cs="Arial"/>
          <w:sz w:val="22"/>
        </w:rPr>
        <w:t>：自然月内在资源群内发布有效通告量≥2 单，具备稳定的甲方资源与模特对接能力；</w:t>
      </w:r>
    </w:p>
    <w:p w14:paraId="33F83C7E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合规信誉要求</w:t>
      </w:r>
      <w:r>
        <w:rPr>
          <w:rFonts w:ascii="Arial" w:hAnsi="Arial" w:eastAsia="等线" w:cs="Arial"/>
          <w:sz w:val="22"/>
        </w:rPr>
        <w:t>：无虚假通告、不实信息等违规记录，在行业内无负面投诉；</w:t>
      </w:r>
    </w:p>
    <w:p w14:paraId="52460802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资质核验要求</w:t>
      </w:r>
      <w:r>
        <w:rPr>
          <w:rFonts w:ascii="Arial" w:hAnsi="Arial" w:eastAsia="等线" w:cs="Arial"/>
          <w:sz w:val="22"/>
        </w:rPr>
        <w:t>：需提供过往通告发布记录、对接案例作为业务能力佐证。</w:t>
      </w:r>
    </w:p>
    <w:p w14:paraId="78E112A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首次轻微违规（凭证造假、单条数据异常）：扣除对应违规奖励，记 1 次警告，公示提醒。</w:t>
      </w:r>
    </w:p>
    <w:p w14:paraId="364D625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累计 2 次违规 / 严重违规（虚假通告、批量互刷）：取消种子经纪身份，永久关闭引荐权限，所有未发放奖励不予结算，纳入平台黑名单。</w:t>
      </w:r>
    </w:p>
    <w:p w14:paraId="3965D06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对外公示违规名单，形成行业震慑，提升违规的声誉成本</w:t>
      </w:r>
    </w:p>
    <w:p w14:paraId="6F56958D">
      <w:pPr>
        <w:numPr>
          <w:ilvl w:val="0"/>
          <w:numId w:val="0"/>
        </w:numPr>
        <w:spacing w:before="120" w:after="120" w:line="288" w:lineRule="auto"/>
        <w:jc w:val="left"/>
      </w:pPr>
    </w:p>
    <w:p w14:paraId="7D299A69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3.3 身份晋升路径</w:t>
      </w:r>
      <w:bookmarkEnd w:id="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4CEAA0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E8B4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身份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97B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名额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79A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核心权益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6385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获取方式</w:t>
            </w:r>
          </w:p>
        </w:tc>
      </w:tr>
      <w:tr w14:paraId="7A153E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EBB5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正式种子经纪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F6DE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100-150 人（总池封顶）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102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全额业务奖励 + 达标解锁引荐权 + 未来永久分润资格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+分润金额增加10%</w:t>
            </w:r>
            <w:r>
              <w:rPr>
                <w:rFonts w:ascii="Arial" w:hAnsi="Arial" w:eastAsia="等线" w:cs="Arial"/>
                <w:sz w:val="22"/>
              </w:rPr>
              <w:t xml:space="preserve"> + 平台专属服务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701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平台直招 / 裂变达标晋升</w:t>
            </w:r>
          </w:p>
        </w:tc>
      </w:tr>
      <w:tr w14:paraId="7EEB9A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B0FE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引荐入驻经纪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6F55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不限量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6EB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基础平台功能使用权 + 业务奖励 + 永久上下级分润绑定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5B9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由种子经纪引荐入驻</w:t>
            </w:r>
          </w:p>
        </w:tc>
      </w:tr>
    </w:tbl>
    <w:p w14:paraId="3748C64F"/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05C6DF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96ED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规则说明：引荐入驻的经纪完成业绩达标后，可申请晋升为正式种子经纪，占用裂变晋升总名额；名额满员后，晋升通道临时关闭，后续仅可通过平台直招加入种子池。</w:t>
            </w:r>
          </w:p>
        </w:tc>
      </w:tr>
    </w:tbl>
    <w:p w14:paraId="42388D45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四、执行阶段规划</w:t>
      </w:r>
      <w:bookmarkEnd w:id="6"/>
    </w:p>
    <w:p w14:paraId="4FFF26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本计划以 3 个月（1 个季度）为运营周期，分三个阶段推进：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497E1F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B74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阶段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EAE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时间周期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6869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核心动作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6BA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阶段目标</w:t>
            </w:r>
          </w:p>
        </w:tc>
      </w:tr>
      <w:tr w14:paraId="55CBF3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CB5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启动跑通期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A1E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 1-4 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7866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首批 30 名直招种子完成入驻；跑通「发布 - 审核 - 结算」全流程；优化对接 SOP 与规则细节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3A5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验证准入标准合理性，跑通业务全流程，首批种子达标率≥70%</w:t>
            </w:r>
          </w:p>
        </w:tc>
      </w:tr>
      <w:tr w14:paraId="50C530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2CA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裂变验证期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79D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 5-8 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1E9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达标种子自动解锁引荐权限；开放裂变晋升通道；同步启动第一批平台直招补充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B38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验证裂变模型有效性，累计裂变晋升≥35 人，总种子规模达 100 人</w:t>
            </w:r>
          </w:p>
        </w:tc>
      </w:tr>
      <w:tr w14:paraId="0443C4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2A4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扩容稳态期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0699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 9-12 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717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根据前期裂变效果，释放剩余裂变晋升名额至 60 人；同步完成平台直招补充；全链路规则固化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DEB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完成首期种子池搭建，总规模达 120-150 人，跑通完整业务与裂变闭环</w:t>
            </w:r>
          </w:p>
        </w:tc>
      </w:tr>
    </w:tbl>
    <w:p w14:paraId="37C1E609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五、核心奖励规则明细</w:t>
      </w:r>
      <w:bookmarkEnd w:id="7"/>
    </w:p>
    <w:p w14:paraId="6781CDEB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5.1 有效发布奖励</w:t>
      </w:r>
      <w:bookmarkEnd w:id="8"/>
    </w:p>
    <w:p w14:paraId="625765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定价：1 元 / 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同时满足以下 6 项条件，即为有效发布，计入对应奖励：</w:t>
      </w:r>
    </w:p>
    <w:p w14:paraId="6075A6DC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信息完整</w:t>
      </w:r>
      <w:r>
        <w:rPr>
          <w:rFonts w:ascii="Arial" w:hAnsi="Arial" w:eastAsia="等线" w:cs="Arial"/>
          <w:sz w:val="22"/>
        </w:rPr>
        <w:t>：平台内通告要素齐全，包含通告内容、招聘类型、性别要求、招募人数、工作地址、工作时间、薪资待遇核心信息；</w:t>
      </w:r>
    </w:p>
    <w:p w14:paraId="118EBE9E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外群佐证</w:t>
      </w:r>
      <w:r>
        <w:rPr>
          <w:rFonts w:ascii="Arial" w:hAnsi="Arial" w:eastAsia="等线" w:cs="Arial"/>
          <w:sz w:val="22"/>
        </w:rPr>
        <w:t>：需提供该通告同步转发至外部模特 / 经纪群的完整录屏（优先认可），录屏需包含从群聊入口进入、消息完整展示的全过程；对应微信群实际人数需≥300 人；凭证需包含群名称、发布时间、完整通告内容；</w:t>
      </w:r>
    </w:p>
    <w:p w14:paraId="398C148B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状态有效</w:t>
      </w:r>
      <w:r>
        <w:rPr>
          <w:rFonts w:ascii="Arial" w:hAnsi="Arial" w:eastAsia="等线" w:cs="Arial"/>
          <w:sz w:val="22"/>
        </w:rPr>
        <w:t>：通告发布后未被主动关闭、主动下架，全程保持公开可报名状态；</w:t>
      </w:r>
    </w:p>
    <w:p w14:paraId="3F1B2064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内容唯一</w:t>
      </w:r>
      <w:r>
        <w:rPr>
          <w:rFonts w:ascii="Arial" w:hAnsi="Arial" w:eastAsia="等线" w:cs="Arial"/>
          <w:sz w:val="22"/>
        </w:rPr>
        <w:t>：同一经纪发布的通告，核心信息（时间、地点、薪资、要求）完全一致的，仅第一条计入有效，重复发布不计奖；若工作地址、核心档期、岗位类型重合度≥70%，判定为同一项目，单项目最多计 2 条有效发布，超出部分不计奖；</w:t>
      </w:r>
    </w:p>
    <w:p w14:paraId="71C2E77F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发布数量上限</w:t>
      </w:r>
      <w:r>
        <w:rPr>
          <w:rFonts w:ascii="Arial" w:hAnsi="Arial" w:eastAsia="等线" w:cs="Arial"/>
          <w:sz w:val="22"/>
        </w:rPr>
        <w:t>：单账号单日有效发布最多计 3 条，单周最多计 12 条，超出部分不计入奖励；</w:t>
      </w:r>
    </w:p>
    <w:p w14:paraId="2CB48C33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无违规举报</w:t>
      </w:r>
      <w:r>
        <w:rPr>
          <w:rFonts w:ascii="Arial" w:hAnsi="Arial" w:eastAsia="等线" w:cs="Arial"/>
          <w:sz w:val="22"/>
        </w:rPr>
        <w:t>：无用户举报该通告为虚假 / 不实信息，或举报经核实不成立。</w:t>
      </w:r>
    </w:p>
    <w:p w14:paraId="1F10A408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5.2 通告完成奖励</w:t>
      </w:r>
      <w:bookmarkEnd w:id="9"/>
    </w:p>
    <w:p w14:paraId="6998F8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定价：</w:t>
      </w:r>
      <w:r>
        <w:rPr>
          <w:rFonts w:hint="eastAsia" w:ascii="Arial" w:hAnsi="Arial" w:eastAsia="等线" w:cs="Arial"/>
          <w:b/>
          <w:sz w:val="22"/>
          <w:lang w:val="en-US" w:eastAsia="zh-CN"/>
        </w:rPr>
        <w:t>额外追加2</w:t>
      </w:r>
      <w:r>
        <w:rPr>
          <w:rFonts w:ascii="Arial" w:hAnsi="Arial" w:eastAsia="等线" w:cs="Arial"/>
          <w:b/>
          <w:sz w:val="22"/>
        </w:rPr>
        <w:t xml:space="preserve"> 元 / 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（原签约匹配奖取消，匹配要求全部纳入有效完成判定条件，不再单独按人头结算奖励）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同时满足以下 3 项条件，即为有效完成，计入对应奖励：</w:t>
      </w:r>
    </w:p>
    <w:p w14:paraId="0A0815B2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基础有效</w:t>
      </w:r>
      <w:r>
        <w:rPr>
          <w:rFonts w:ascii="Arial" w:hAnsi="Arial" w:eastAsia="等线" w:cs="Arial"/>
          <w:sz w:val="22"/>
        </w:rPr>
        <w:t>：通告本身满足有效发布全部条件；</w:t>
      </w:r>
      <w:bookmarkStart w:id="29" w:name="_GoBack"/>
      <w:bookmarkEnd w:id="29"/>
    </w:p>
    <w:p w14:paraId="15738BE4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人员匹配</w:t>
      </w:r>
      <w:r>
        <w:rPr>
          <w:rFonts w:ascii="Arial" w:hAnsi="Arial" w:eastAsia="等线" w:cs="Arial"/>
          <w:sz w:val="22"/>
        </w:rPr>
        <w:t>：签约人员个人主页信息完整（基础身份信息 + 过往作品），且自身条件与通告招聘要求（性别、岗位类型等）完全匹配；</w:t>
      </w:r>
    </w:p>
    <w:p w14:paraId="0B9F08D5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防重复要求</w:t>
      </w:r>
      <w:r>
        <w:rPr>
          <w:rFonts w:ascii="Arial" w:hAnsi="Arial" w:eastAsia="等线" w:cs="Arial"/>
          <w:sz w:val="22"/>
        </w:rPr>
        <w:t>：本条通告的签约人员中，包含至少 1 名本季度内从未与该经纪合作过的新增人员；若全部签约人员均为该经纪历史合作人员（100% 人员重复），则不计入有效完成。</w:t>
      </w:r>
    </w:p>
    <w:p w14:paraId="269EAE7E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5.3 引荐裂变奖励</w:t>
      </w:r>
      <w:bookmarkEnd w:id="10"/>
    </w:p>
    <w:p w14:paraId="540C28C9">
      <w:pPr>
        <w:spacing w:before="260" w:after="120" w:line="288" w:lineRule="auto"/>
        <w:ind w:left="0"/>
        <w:jc w:val="left"/>
        <w:outlineLvl w:val="3"/>
      </w:pPr>
      <w:bookmarkStart w:id="11" w:name="heading_11"/>
      <w:r>
        <w:rPr>
          <w:rFonts w:ascii="Arial" w:hAnsi="Arial" w:eastAsia="等线" w:cs="Arial"/>
          <w:b/>
          <w:sz w:val="28"/>
        </w:rPr>
        <w:t>权限解锁条件</w:t>
      </w:r>
      <w:bookmarkEnd w:id="11"/>
    </w:p>
    <w:p w14:paraId="492D97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种子经纪单季度内完成「≥6 条有效发布 + ≥2 条有效完成通告」，自动解锁引荐权限；权限在种子身份有效期内持续有效。</w:t>
      </w:r>
    </w:p>
    <w:p w14:paraId="13F2DF5D">
      <w:pPr>
        <w:spacing w:before="260" w:after="120" w:line="288" w:lineRule="auto"/>
        <w:ind w:left="0"/>
        <w:jc w:val="left"/>
        <w:outlineLvl w:val="3"/>
      </w:pPr>
      <w:bookmarkStart w:id="12" w:name="heading_12"/>
      <w:r>
        <w:rPr>
          <w:rFonts w:ascii="Arial" w:hAnsi="Arial" w:eastAsia="等线" w:cs="Arial"/>
          <w:b/>
          <w:sz w:val="28"/>
        </w:rPr>
        <w:t>奖励标准（仅针对被引荐人入驻首季度核算）</w:t>
      </w:r>
      <w:bookmarkEnd w:id="12"/>
    </w:p>
    <w:p w14:paraId="586A28E4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引荐基础达标奖：10 元 / 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被引荐人首季度完成「≥6 条有效发布 + ≥2 条有效完成通告」，且无违规记录，一次性发放对应奖励。</w:t>
      </w:r>
    </w:p>
    <w:p w14:paraId="7D0AD1D4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引荐成交增量奖：1 元 / 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被引荐人每完成 1 条有效完成通告，引荐人额外获得 1 元奖励，首季度内上不封顶。</w:t>
      </w:r>
    </w:p>
    <w:p w14:paraId="539994F7">
      <w:pPr>
        <w:spacing w:before="260" w:after="120" w:line="288" w:lineRule="auto"/>
        <w:ind w:left="0"/>
        <w:jc w:val="left"/>
        <w:outlineLvl w:val="3"/>
      </w:pPr>
      <w:bookmarkStart w:id="13" w:name="heading_13"/>
      <w:r>
        <w:rPr>
          <w:rFonts w:ascii="Arial" w:hAnsi="Arial" w:eastAsia="等线" w:cs="Arial"/>
          <w:b/>
          <w:sz w:val="28"/>
        </w:rPr>
        <w:t>配套规则</w:t>
      </w:r>
      <w:bookmarkEnd w:id="13"/>
    </w:p>
    <w:p w14:paraId="6EC3647F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被引荐人达标晋升为正式种子后，自动解锁自身引荐权限，可继续引荐新经纪入驻；</w:t>
      </w:r>
    </w:p>
    <w:p w14:paraId="7FA55223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裂变晋升种子总名额控制在 35-60 人，名额满后关闭晋升通道，仅保留上下级分润绑定关系；</w:t>
      </w:r>
    </w:p>
    <w:p w14:paraId="7E2DFF03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若被引荐人存在虚假通告、刷单等违规行为，取消对应引荐全部奖励，情节严重的连带取消引荐人种子资格。</w:t>
      </w:r>
    </w:p>
    <w:p w14:paraId="79C7FEFE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六、社群资产配套方案</w:t>
      </w:r>
      <w:bookmarkEnd w:id="14"/>
    </w:p>
    <w:p w14:paraId="28B57D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为补充私域流量、保障通告曝光与报名转化，同步推进精准社群收购计划：</w:t>
      </w:r>
    </w:p>
    <w:p w14:paraId="412E2A6D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采购规模</w:t>
      </w:r>
      <w:r>
        <w:rPr>
          <w:rFonts w:ascii="Arial" w:hAnsi="Arial" w:eastAsia="等线" w:cs="Arial"/>
          <w:sz w:val="22"/>
        </w:rPr>
        <w:t>：本季度计划收购 20 个上海本地精准模特 / 经纪社群；</w:t>
      </w:r>
    </w:p>
    <w:p w14:paraId="2D4F0B54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成本核算</w:t>
      </w:r>
      <w:r>
        <w:rPr>
          <w:rFonts w:ascii="Arial" w:hAnsi="Arial" w:eastAsia="等线" w:cs="Arial"/>
          <w:sz w:val="22"/>
        </w:rPr>
        <w:t>：单群账面采购价 350 元（当期现金支出，计入公司资产）；预计可变现残值 200 元（项目终止可转售回收）；对应实际净成本 150 元 / 个；</w:t>
      </w:r>
    </w:p>
    <w:p w14:paraId="7DF557AF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资产归属</w:t>
      </w:r>
      <w:r>
        <w:rPr>
          <w:rFonts w:ascii="Arial" w:hAnsi="Arial" w:eastAsia="等线" w:cs="Arial"/>
          <w:sz w:val="22"/>
        </w:rPr>
        <w:t>：收购完成后社群所有权 100% 归平台所有，纳入公司私域资产台账统一管理，可长期复用为通告分发、用户招募渠道。</w:t>
      </w:r>
    </w:p>
    <w:p w14:paraId="6BF58E04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七、预算分配与效果测算</w:t>
      </w:r>
      <w:bookmarkEnd w:id="15"/>
    </w:p>
    <w:p w14:paraId="6AE56E0D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7.1 整体预算分配框架</w:t>
      </w:r>
      <w:bookmarkEnd w:id="16"/>
    </w:p>
    <w:p w14:paraId="1B13E9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本计划预算从平台季度利润中划拨，按固定比例分配至各模块，专项专用：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1A70AC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6CE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5D53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占比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640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预算额度（季度总预算 31230 元）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F3EB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模块说明</w:t>
            </w:r>
          </w:p>
        </w:tc>
      </w:tr>
      <w:tr w14:paraId="15C063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3A2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通告激励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A276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A89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15615.0 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3DB3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覆盖有效发布奖、通告完成奖</w:t>
            </w:r>
          </w:p>
        </w:tc>
      </w:tr>
      <w:tr w14:paraId="2AD655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675F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裂变引荐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AE6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35%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139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10930.5 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AA1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覆盖引荐基础达标奖、成交增量奖</w:t>
            </w:r>
          </w:p>
        </w:tc>
      </w:tr>
      <w:tr w14:paraId="4BFC46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9B1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社群拓新（净成本）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5DB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2B29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3123.0 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3A3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覆盖社群采购净成本</w:t>
            </w:r>
          </w:p>
        </w:tc>
      </w:tr>
      <w:tr w14:paraId="628951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E51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备用金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699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001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1561.5 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041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风险缓冲与灵活补充</w:t>
            </w:r>
          </w:p>
        </w:tc>
      </w:tr>
      <w:tr w14:paraId="045729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D69C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合计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652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100%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D81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31230.0 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5C54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</w:tr>
    </w:tbl>
    <w:p w14:paraId="6D01BB60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7.2 基准档：总种子 100 人规模测算</w:t>
      </w:r>
      <w:bookmarkEnd w:id="17"/>
    </w:p>
    <w:p w14:paraId="14492CCD">
      <w:pPr>
        <w:spacing w:before="260" w:after="120" w:line="288" w:lineRule="auto"/>
        <w:ind w:left="0"/>
        <w:jc w:val="left"/>
        <w:outlineLvl w:val="3"/>
      </w:pPr>
      <w:bookmarkStart w:id="18" w:name="heading_18"/>
      <w:r>
        <w:rPr>
          <w:rFonts w:ascii="Arial" w:hAnsi="Arial" w:eastAsia="等线" w:cs="Arial"/>
          <w:b/>
          <w:sz w:val="28"/>
        </w:rPr>
        <w:t>核心假设</w:t>
      </w:r>
      <w:bookmarkEnd w:id="18"/>
    </w:p>
    <w:p w14:paraId="26678F77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种子经纪整体达标率 70%，达标经纪人均引荐 1.2 人；</w:t>
      </w:r>
    </w:p>
    <w:p w14:paraId="6632E1E9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裂变晋升种子满额 35 人，平台直招补充 35 人，加初始 30 人合计 100 人；</w:t>
      </w:r>
    </w:p>
    <w:p w14:paraId="1C238013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单名种子季度产能基准：12 条有效发布、6 条有效完成。</w:t>
      </w:r>
    </w:p>
    <w:p w14:paraId="6524F4E8">
      <w:pPr>
        <w:spacing w:before="260" w:after="120" w:line="288" w:lineRule="auto"/>
        <w:ind w:left="0"/>
        <w:jc w:val="left"/>
        <w:outlineLvl w:val="3"/>
      </w:pPr>
      <w:bookmarkStart w:id="19" w:name="heading_19"/>
      <w:r>
        <w:rPr>
          <w:rFonts w:ascii="Arial" w:hAnsi="Arial" w:eastAsia="等线" w:cs="Arial"/>
          <w:b/>
          <w:sz w:val="28"/>
        </w:rPr>
        <w:t>成本测算</w:t>
      </w:r>
      <w:bookmarkEnd w:id="1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3577E8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5396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7B4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预算额度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B81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实际花费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CB3E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预算剩余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FF5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预算使用率</w:t>
            </w:r>
          </w:p>
        </w:tc>
      </w:tr>
      <w:tr w14:paraId="05C36F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8D9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通告激励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38EC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15615.0 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E93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3000.0 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9614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12615.0 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F9C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19.2%</w:t>
            </w:r>
          </w:p>
        </w:tc>
      </w:tr>
      <w:tr w14:paraId="269D4F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E4B7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裂变引荐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FCC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10930.5 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D9ED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560.0 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6722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10370.5 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F36D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5.1%</w:t>
            </w:r>
          </w:p>
        </w:tc>
      </w:tr>
      <w:tr w14:paraId="2A872B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C08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社群拓新（净成本）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1C4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3123.0 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119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3000.0 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D95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123.0 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E79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96.1%</w:t>
            </w:r>
          </w:p>
        </w:tc>
      </w:tr>
      <w:tr w14:paraId="3D19BF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B3B6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备用金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A99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1561.5 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08E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 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F89E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1561.5 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C18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0%</w:t>
            </w:r>
          </w:p>
        </w:tc>
      </w:tr>
      <w:tr w14:paraId="3AB72B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BF7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总计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63DA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31230.0 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CC5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6560.0 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B69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24670.0 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30F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21.0%</w:t>
            </w:r>
          </w:p>
        </w:tc>
      </w:tr>
    </w:tbl>
    <w:p w14:paraId="4AAC91BD">
      <w:pPr>
        <w:spacing w:before="260" w:after="120" w:line="288" w:lineRule="auto"/>
        <w:ind w:left="0"/>
        <w:jc w:val="left"/>
        <w:outlineLvl w:val="3"/>
      </w:pPr>
      <w:bookmarkStart w:id="20" w:name="heading_20"/>
      <w:r>
        <w:rPr>
          <w:rFonts w:ascii="Arial" w:hAnsi="Arial" w:eastAsia="等线" w:cs="Arial"/>
          <w:b/>
          <w:sz w:val="28"/>
        </w:rPr>
        <w:t>预期业务成果</w:t>
      </w:r>
      <w:bookmarkEnd w:id="2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34479F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45A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成果维度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D2D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数值</w:t>
            </w:r>
          </w:p>
        </w:tc>
      </w:tr>
      <w:tr w14:paraId="117038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715F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季度累计有效发布通告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F51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1200 条</w:t>
            </w:r>
          </w:p>
        </w:tc>
      </w:tr>
      <w:tr w14:paraId="6773E0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139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季度累计有效完成通告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81A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600 条</w:t>
            </w:r>
          </w:p>
        </w:tc>
      </w:tr>
      <w:tr w14:paraId="6007FF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7BC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正式种子经纪总人数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FB5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 人</w:t>
            </w:r>
          </w:p>
        </w:tc>
      </w:tr>
      <w:tr w14:paraId="583F1C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948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自有社群资产总数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1E0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43 个（自有 23 个 + 新增 20 个）</w:t>
            </w:r>
          </w:p>
        </w:tc>
      </w:tr>
      <w:tr w14:paraId="5A0440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CC8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精准用户覆盖规模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86C2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≈ 1.7 万人</w:t>
            </w:r>
          </w:p>
        </w:tc>
      </w:tr>
    </w:tbl>
    <w:p w14:paraId="06EC709F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7.3 扩容档：总种子 150 人规模测算</w:t>
      </w:r>
      <w:bookmarkEnd w:id="21"/>
    </w:p>
    <w:p w14:paraId="3B9EB260">
      <w:pPr>
        <w:spacing w:before="260" w:after="120" w:line="288" w:lineRule="auto"/>
        <w:ind w:left="0"/>
        <w:jc w:val="left"/>
        <w:outlineLvl w:val="3"/>
      </w:pPr>
      <w:bookmarkStart w:id="22" w:name="heading_22"/>
      <w:r>
        <w:rPr>
          <w:rFonts w:ascii="Arial" w:hAnsi="Arial" w:eastAsia="等线" w:cs="Arial"/>
          <w:b/>
          <w:sz w:val="28"/>
        </w:rPr>
        <w:t>核心假设</w:t>
      </w:r>
      <w:bookmarkEnd w:id="22"/>
    </w:p>
    <w:p w14:paraId="0C0A3EEF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裂变晋升种子满额 60 人，平台直招补充 60 人，加初始 30 人合计 150 人；</w:t>
      </w:r>
    </w:p>
    <w:p w14:paraId="7AB61D85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产能标准、达标率与基准档保持一致。</w:t>
      </w:r>
    </w:p>
    <w:p w14:paraId="01F56425">
      <w:pPr>
        <w:spacing w:before="260" w:after="120" w:line="288" w:lineRule="auto"/>
        <w:ind w:left="0"/>
        <w:jc w:val="left"/>
        <w:outlineLvl w:val="3"/>
      </w:pPr>
      <w:bookmarkStart w:id="23" w:name="heading_23"/>
      <w:r>
        <w:rPr>
          <w:rFonts w:ascii="Arial" w:hAnsi="Arial" w:eastAsia="等线" w:cs="Arial"/>
          <w:b/>
          <w:sz w:val="28"/>
        </w:rPr>
        <w:t>成本测算</w:t>
      </w:r>
      <w:bookmarkEnd w:id="2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5C5FF9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F0F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0939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预算额度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3F4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实际花费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8BF7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预算剩余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2C7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预算使用率</w:t>
            </w:r>
          </w:p>
        </w:tc>
      </w:tr>
      <w:tr w14:paraId="7F64A7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7AC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通告激励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E132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15615.0 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AE4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4500.0 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E37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11115.0 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92E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28.8%</w:t>
            </w:r>
          </w:p>
        </w:tc>
      </w:tr>
      <w:tr w14:paraId="25D6A3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3630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裂变引荐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ABD3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10930.5 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281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960.0 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C39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9970.5 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21DC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8.8%</w:t>
            </w:r>
          </w:p>
        </w:tc>
      </w:tr>
      <w:tr w14:paraId="4125A9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FAF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社群拓新（净成本）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30B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3123.0 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912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3000.0 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C31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123.0 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F90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96.1%</w:t>
            </w:r>
          </w:p>
        </w:tc>
      </w:tr>
      <w:tr w14:paraId="08166A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9C1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备用金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C3B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1561.5 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9E0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 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9C6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1561.5 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9A9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0%</w:t>
            </w:r>
          </w:p>
        </w:tc>
      </w:tr>
      <w:tr w14:paraId="318273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D4CA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总计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A04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31230.0 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1835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8460.0 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B9EF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22770.0 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FB4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27.1%</w:t>
            </w:r>
          </w:p>
        </w:tc>
      </w:tr>
    </w:tbl>
    <w:p w14:paraId="401D5361">
      <w:pPr>
        <w:spacing w:before="260" w:after="120" w:line="288" w:lineRule="auto"/>
        <w:ind w:left="0"/>
        <w:jc w:val="left"/>
        <w:outlineLvl w:val="3"/>
      </w:pPr>
      <w:bookmarkStart w:id="24" w:name="heading_24"/>
      <w:r>
        <w:rPr>
          <w:rFonts w:ascii="Arial" w:hAnsi="Arial" w:eastAsia="等线" w:cs="Arial"/>
          <w:b/>
          <w:sz w:val="28"/>
        </w:rPr>
        <w:t>预期业务成果</w:t>
      </w:r>
      <w:bookmarkEnd w:id="2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30E7B7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CE0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成果维度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D131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数值</w:t>
            </w:r>
          </w:p>
        </w:tc>
      </w:tr>
      <w:tr w14:paraId="4E12CE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1F4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季度累计有效发布通告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DEBD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1800 条</w:t>
            </w:r>
          </w:p>
        </w:tc>
      </w:tr>
      <w:tr w14:paraId="1D497F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F150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季度累计有效完成通告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A0C2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900 条</w:t>
            </w:r>
          </w:p>
        </w:tc>
      </w:tr>
      <w:tr w14:paraId="08D0DD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33C7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正式种子经纪总人数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9BD4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150 人</w:t>
            </w:r>
          </w:p>
        </w:tc>
      </w:tr>
      <w:tr w14:paraId="1FE9C7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604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自有社群资产总数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1C2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43 个</w:t>
            </w:r>
          </w:p>
        </w:tc>
      </w:tr>
      <w:tr w14:paraId="6362F7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D613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精准用户覆盖规模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722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≈ 1.7 万人</w:t>
            </w:r>
          </w:p>
        </w:tc>
      </w:tr>
    </w:tbl>
    <w:p w14:paraId="7ECBF4C5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b/>
          <w:sz w:val="32"/>
        </w:rPr>
        <w:t>八、计划综合利弊分析</w:t>
      </w:r>
      <w:bookmarkEnd w:id="25"/>
    </w:p>
    <w:p w14:paraId="4B2215B1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8.1 核心优势</w:t>
      </w:r>
      <w:bookmarkEnd w:id="26"/>
    </w:p>
    <w:p w14:paraId="3DEF48D5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规则简洁，落地效率高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取消单独人头匹配奖，将匹配要求合并至完成奖条件，经纪理解成本大幅降低，运营端无需单独统计独特人头、核算匹配奖励，审核工作量下降约 40%，全流程跑通速度更快。</w:t>
      </w:r>
    </w:p>
    <w:p w14:paraId="14721FF6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裂变闭环完整，动力可持续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被引荐人达标后可晋升种子、解锁引荐权，形成 “种子引荐新人→新人达标变种子→继续引荐” 的自循环，相比 “裂变者无引荐权” 的模式，长期裂变动力更充足，能充分验证多层级裂变的真实效果。</w:t>
      </w:r>
    </w:p>
    <w:p w14:paraId="2E85EFA5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预算极度安全，试错成本极低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单人补贴成本下降、总规模封顶，即使满额 150 人，整体预算使用率也不足 30%，安全垫极其充足；首批仅 30 人启动，最小成本验证模型，即使效果不及预期，也不会造成大额损失。</w:t>
      </w:r>
    </w:p>
    <w:p w14:paraId="6B269987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质量与节奏完全可控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裂变晋升设置 35-60 人的名额上限，平台同时保留直招补充通道，既给了裂变成长空间，又牢牢掌握人员质量、规模节奏的主动权，不会出现裂变失控、人员质量滑坡的问题。</w:t>
      </w:r>
    </w:p>
    <w:p w14:paraId="77C4992E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衔接未来体系平滑无落差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所有短期补贴均为首期扶持，单季度单人奖励额度远低于未来 3.5% 服务费体系下的永久分润价值，不会拉高用户短期收益预期，到期切换商业化体系无断层感。</w:t>
      </w:r>
    </w:p>
    <w:p w14:paraId="156AFE13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b/>
          <w:sz w:val="30"/>
        </w:rPr>
        <w:t>8.2 潜在风险</w:t>
      </w:r>
      <w:bookmarkEnd w:id="27"/>
    </w:p>
    <w:p w14:paraId="4B651272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新人拓展激励减弱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取消单独人头奖后，经纪拓展新模特的直接现金收益下降，部分小经纪可能放缓新人拓展节奏，导致有效完成通告的产出速度略低于预期。</w:t>
      </w:r>
    </w:p>
    <w:p w14:paraId="6798F89D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裂变层级管理难度上升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裂变种子也拥有引荐权，相当于自然形成二级及以上裂变关系，需做好上下级关系链的系统追踪，避免后续分润体系落地时出现层级混乱。</w:t>
      </w:r>
    </w:p>
    <w:p w14:paraId="50165200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存在拆分通告凑数风险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单条完成奖价值提升后，少数经纪可能通过拆分同项目通告、凑新人头的方式刷奖励，需依靠 “内容唯一” 规则与人工抽检强化防控。</w:t>
      </w:r>
    </w:p>
    <w:p w14:paraId="6FA4A8E4">
      <w:pPr>
        <w:spacing w:before="320" w:after="120" w:line="288" w:lineRule="auto"/>
        <w:ind w:left="0"/>
        <w:jc w:val="left"/>
        <w:outlineLvl w:val="1"/>
      </w:pPr>
      <w:bookmarkStart w:id="28" w:name="heading_28"/>
      <w:r>
        <w:rPr>
          <w:rFonts w:ascii="Arial" w:hAnsi="Arial" w:eastAsia="等线" w:cs="Arial"/>
          <w:b/>
          <w:sz w:val="32"/>
        </w:rPr>
        <w:t>九、附则</w:t>
      </w:r>
      <w:bookmarkEnd w:id="28"/>
    </w:p>
    <w:p w14:paraId="6BD1493F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本计划规则由平台负责解释，根据运营实际情况可进行微调，调整将提前 3 天公示；</w:t>
      </w:r>
    </w:p>
    <w:p w14:paraId="33ABDA31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所有参与经纪需遵守平台运营规范，出现虚假通告、刷单等违规行为，平台有权取消全部奖励并终止合作；</w:t>
      </w:r>
    </w:p>
    <w:p w14:paraId="324DA9B0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本计划周期结束后，将根据运行效果公布下一期招募与激励政策，同步推进永久分润体系落地。</w:t>
      </w:r>
    </w:p>
    <w:p w14:paraId="6E2BCB17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4F6D6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1A935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">
    <w:nsid w:val="8201A1B5"/>
    <w:multiLevelType w:val="multilevel"/>
    <w:tmpl w:val="8201A1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8461FADE"/>
    <w:multiLevelType w:val="singleLevel"/>
    <w:tmpl w:val="8461FAD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9239341B"/>
    <w:multiLevelType w:val="singleLevel"/>
    <w:tmpl w:val="9239341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C8AC8EF"/>
    <w:multiLevelType w:val="singleLevel"/>
    <w:tmpl w:val="9C8AC8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B0F1ACD9"/>
    <w:multiLevelType w:val="singleLevel"/>
    <w:tmpl w:val="B0F1ACD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8">
    <w:nsid w:val="BB64CFA9"/>
    <w:multiLevelType w:val="singleLevel"/>
    <w:tmpl w:val="BB64CFA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1">
    <w:nsid w:val="C8879AEF"/>
    <w:multiLevelType w:val="singleLevel"/>
    <w:tmpl w:val="C8879AE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2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">
    <w:nsid w:val="D7F9FE59"/>
    <w:multiLevelType w:val="singleLevel"/>
    <w:tmpl w:val="D7F9FE5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">
    <w:nsid w:val="DCBA6B53"/>
    <w:multiLevelType w:val="singleLevel"/>
    <w:tmpl w:val="DCBA6B5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5">
    <w:nsid w:val="E093A4B0"/>
    <w:multiLevelType w:val="singleLevel"/>
    <w:tmpl w:val="E093A4B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6">
    <w:nsid w:val="F4B5D9F5"/>
    <w:multiLevelType w:val="singleLevel"/>
    <w:tmpl w:val="F4B5D9F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">
    <w:nsid w:val="F7735DC9"/>
    <w:multiLevelType w:val="singleLevel"/>
    <w:tmpl w:val="F7735DC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">
    <w:nsid w:val="0248C179"/>
    <w:multiLevelType w:val="singleLevel"/>
    <w:tmpl w:val="0248C1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0">
    <w:nsid w:val="03D62ECE"/>
    <w:multiLevelType w:val="singleLevel"/>
    <w:tmpl w:val="03D62E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1">
    <w:nsid w:val="0E640482"/>
    <w:multiLevelType w:val="singleLevel"/>
    <w:tmpl w:val="0E64048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2">
    <w:nsid w:val="243FCF68"/>
    <w:multiLevelType w:val="singleLevel"/>
    <w:tmpl w:val="243FCF68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3">
    <w:nsid w:val="2470EC97"/>
    <w:multiLevelType w:val="singleLevel"/>
    <w:tmpl w:val="2470EC9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4">
    <w:nsid w:val="25B654F3"/>
    <w:multiLevelType w:val="singleLevel"/>
    <w:tmpl w:val="25B654F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5">
    <w:nsid w:val="2A8F537B"/>
    <w:multiLevelType w:val="singleLevel"/>
    <w:tmpl w:val="2A8F537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6">
    <w:nsid w:val="30FC5B15"/>
    <w:multiLevelType w:val="singleLevel"/>
    <w:tmpl w:val="30FC5B1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7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46A08BB8"/>
    <w:multiLevelType w:val="singleLevel"/>
    <w:tmpl w:val="46A08BB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9">
    <w:nsid w:val="4C1BAE26"/>
    <w:multiLevelType w:val="singleLevel"/>
    <w:tmpl w:val="4C1BAE2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0">
    <w:nsid w:val="4D4DC07F"/>
    <w:multiLevelType w:val="singleLevel"/>
    <w:tmpl w:val="4D4DC07F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1">
    <w:nsid w:val="4D94DA66"/>
    <w:multiLevelType w:val="singleLevel"/>
    <w:tmpl w:val="4D94DA6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2">
    <w:nsid w:val="58765686"/>
    <w:multiLevelType w:val="singleLevel"/>
    <w:tmpl w:val="5876568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3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4">
    <w:nsid w:val="5A241D34"/>
    <w:multiLevelType w:val="singleLevel"/>
    <w:tmpl w:val="5A241D3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5">
    <w:nsid w:val="60382F6E"/>
    <w:multiLevelType w:val="singleLevel"/>
    <w:tmpl w:val="60382F6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6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72183CF9"/>
    <w:multiLevelType w:val="singleLevel"/>
    <w:tmpl w:val="72183CF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8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79AA4FA4"/>
    <w:multiLevelType w:val="singleLevel"/>
    <w:tmpl w:val="79AA4FA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0">
    <w:nsid w:val="7C246926"/>
    <w:multiLevelType w:val="singleLevel"/>
    <w:tmpl w:val="7C24692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1">
    <w:nsid w:val="7DEC2089"/>
    <w:multiLevelType w:val="singleLevel"/>
    <w:tmpl w:val="7DEC2089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18"/>
  </w:num>
  <w:num w:numId="2">
    <w:abstractNumId w:val="12"/>
  </w:num>
  <w:num w:numId="3">
    <w:abstractNumId w:val="33"/>
  </w:num>
  <w:num w:numId="4">
    <w:abstractNumId w:val="10"/>
  </w:num>
  <w:num w:numId="5">
    <w:abstractNumId w:val="7"/>
  </w:num>
  <w:num w:numId="6">
    <w:abstractNumId w:val="20"/>
  </w:num>
  <w:num w:numId="7">
    <w:abstractNumId w:val="24"/>
  </w:num>
  <w:num w:numId="8">
    <w:abstractNumId w:val="37"/>
  </w:num>
  <w:num w:numId="9">
    <w:abstractNumId w:val="1"/>
  </w:num>
  <w:num w:numId="10">
    <w:abstractNumId w:val="19"/>
  </w:num>
  <w:num w:numId="11">
    <w:abstractNumId w:val="3"/>
  </w:num>
  <w:num w:numId="12">
    <w:abstractNumId w:val="25"/>
  </w:num>
  <w:num w:numId="13">
    <w:abstractNumId w:val="34"/>
  </w:num>
  <w:num w:numId="14">
    <w:abstractNumId w:val="11"/>
  </w:num>
  <w:num w:numId="15">
    <w:abstractNumId w:val="30"/>
  </w:num>
  <w:num w:numId="16">
    <w:abstractNumId w:val="16"/>
  </w:num>
  <w:num w:numId="17">
    <w:abstractNumId w:val="23"/>
  </w:num>
  <w:num w:numId="18">
    <w:abstractNumId w:val="14"/>
  </w:num>
  <w:num w:numId="19">
    <w:abstractNumId w:val="13"/>
  </w:num>
  <w:num w:numId="20">
    <w:abstractNumId w:val="5"/>
  </w:num>
  <w:num w:numId="21">
    <w:abstractNumId w:val="29"/>
  </w:num>
  <w:num w:numId="22">
    <w:abstractNumId w:val="35"/>
  </w:num>
  <w:num w:numId="23">
    <w:abstractNumId w:val="21"/>
  </w:num>
  <w:num w:numId="24">
    <w:abstractNumId w:val="28"/>
  </w:num>
  <w:num w:numId="25">
    <w:abstractNumId w:val="6"/>
  </w:num>
  <w:num w:numId="26">
    <w:abstractNumId w:val="40"/>
  </w:num>
  <w:num w:numId="27">
    <w:abstractNumId w:val="38"/>
  </w:num>
  <w:num w:numId="28">
    <w:abstractNumId w:val="9"/>
  </w:num>
  <w:num w:numId="29">
    <w:abstractNumId w:val="36"/>
  </w:num>
  <w:num w:numId="30">
    <w:abstractNumId w:val="4"/>
  </w:num>
  <w:num w:numId="31">
    <w:abstractNumId w:val="27"/>
  </w:num>
  <w:num w:numId="32">
    <w:abstractNumId w:val="2"/>
  </w:num>
  <w:num w:numId="33">
    <w:abstractNumId w:val="32"/>
  </w:num>
  <w:num w:numId="34">
    <w:abstractNumId w:val="41"/>
  </w:num>
  <w:num w:numId="35">
    <w:abstractNumId w:val="0"/>
  </w:num>
  <w:num w:numId="36">
    <w:abstractNumId w:val="22"/>
  </w:num>
  <w:num w:numId="37">
    <w:abstractNumId w:val="31"/>
  </w:num>
  <w:num w:numId="38">
    <w:abstractNumId w:val="17"/>
  </w:num>
  <w:num w:numId="39">
    <w:abstractNumId w:val="15"/>
  </w:num>
  <w:num w:numId="40">
    <w:abstractNumId w:val="26"/>
  </w:num>
  <w:num w:numId="41">
    <w:abstractNumId w:val="39"/>
  </w:num>
  <w:num w:numId="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2C3F2C8B"/>
    <w:rsid w:val="2E9E2C9D"/>
    <w:rsid w:val="39D215E2"/>
    <w:rsid w:val="3CEB040A"/>
    <w:rsid w:val="4B2E419E"/>
    <w:rsid w:val="57B03705"/>
    <w:rsid w:val="5D2E3981"/>
    <w:rsid w:val="634F524A"/>
    <w:rsid w:val="732775A1"/>
    <w:rsid w:val="7B8B273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3871</Words>
  <Characters>4248</Characters>
  <TotalTime>39</TotalTime>
  <ScaleCrop>false</ScaleCrop>
  <LinksUpToDate>false</LinksUpToDate>
  <CharactersWithSpaces>4483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2026-07-02T09:45:00Z</dcterms:created>
  <dc:creator>Apache POI</dc:creator>
  <cp:lastModifiedBy>Icy_沁沁</cp:lastModifiedBy>
  <dcterms:modified xsi:type="dcterms:W3CDTF">2026-07-06T03:33:41Z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{"Label":"1","ContentProducer":"001191110102MACQD9K64010000","ProduceID":"7657864416361630665","ReservedCode1":"","ContentPropagator":"","PropagateID":"","ReservedCode2":""}</vt:lpwstr>
  </property>
  <property fmtid="{D5CDD505-2E9C-101B-9397-08002B2CF9AE}" pid="3" name="KSOTemplateDocerSaveRecord">
    <vt:lpwstr>eyJoZGlkIjoiMTBkYzUyZWVlMjdhYzcyNTZmZWJlOTA0MjczZTI3YzMiLCJ1c2VySWQiOiI2MjE3MjE2OTEifQ==</vt:lpwstr>
  </property>
  <property fmtid="{D5CDD505-2E9C-101B-9397-08002B2CF9AE}" pid="4" name="KSOProductBuildVer">
    <vt:lpwstr>2052-12.1.0.26895</vt:lpwstr>
  </property>
  <property fmtid="{D5CDD505-2E9C-101B-9397-08002B2CF9AE}" pid="5" name="ICV">
    <vt:lpwstr>9CDB7D739D7D4CF29F8C43448E952100_12</vt:lpwstr>
  </property>
</Properties>
</file>