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B043" w14:textId="77777777" w:rsidR="001A4382" w:rsidRDefault="00000000">
      <w:pPr>
        <w:pStyle w:val="Heading1"/>
      </w:pPr>
      <w:bookmarkStart w:id="0" w:name="Xd024de8bec1359bfa316c4890f30ab5f9cec35d"/>
      <w:r>
        <w:t>BHF Cardiovascular Grand Challenge: AI-powered transformation in cardiovascular health: from discovery to clinical practice - Concept note</w:t>
      </w:r>
    </w:p>
    <w:p w14:paraId="42E3FAD8" w14:textId="77777777" w:rsidR="001A4382" w:rsidRDefault="00000000">
      <w:pPr>
        <w:pStyle w:val="Heading2"/>
      </w:pPr>
      <w:bookmarkStart w:id="1" w:name="working-title"/>
      <w:r>
        <w:t>Working Title</w:t>
      </w:r>
    </w:p>
    <w:p w14:paraId="3F1AF7BA" w14:textId="77777777" w:rsidR="001A4382" w:rsidRDefault="00000000">
      <w:pPr>
        <w:pStyle w:val="FirstParagraph"/>
      </w:pPr>
      <w:r>
        <w:rPr>
          <w:b/>
          <w:bCs/>
        </w:rPr>
        <w:t>Continuous Cardiovascular Care: detecting and preventing acute cardiovascular events across care pathways (CREEHA-AI)</w:t>
      </w:r>
    </w:p>
    <w:p w14:paraId="089E6A73" w14:textId="77777777" w:rsidR="001A4382" w:rsidRDefault="00000000">
      <w:pPr>
        <w:pStyle w:val="Heading2"/>
      </w:pPr>
      <w:bookmarkStart w:id="2" w:name="one-sentence-aim"/>
      <w:bookmarkEnd w:id="1"/>
      <w:r>
        <w:t>One-Sentence Aim</w:t>
      </w:r>
    </w:p>
    <w:p w14:paraId="40666304" w14:textId="77777777" w:rsidR="001A4382" w:rsidRDefault="00000000">
      <w:pPr>
        <w:pStyle w:val="FirstParagraph"/>
      </w:pPr>
      <w:r>
        <w:t>To create an AI-enabled learning system that detects, predicts and helps prevent silent or evolving myocardial ischaemia and other acute cardiovascular events across acute-care pathways.</w:t>
      </w:r>
    </w:p>
    <w:p w14:paraId="32F174DC" w14:textId="77777777" w:rsidR="001A4382" w:rsidRDefault="00000000">
      <w:pPr>
        <w:pStyle w:val="Heading2"/>
      </w:pPr>
      <w:bookmarkStart w:id="3" w:name="the-grand-challenge"/>
      <w:bookmarkEnd w:id="2"/>
      <w:r>
        <w:t>The Grand Challenge</w:t>
      </w:r>
    </w:p>
    <w:p w14:paraId="741CDEAE" w14:textId="77777777" w:rsidR="001A4382" w:rsidRDefault="00000000">
      <w:pPr>
        <w:pStyle w:val="FirstParagraph"/>
      </w:pPr>
      <w:r>
        <w:t>Cardiovascular events are not confined to the coronary care unit. Myocardial infarction, myocardial injury, arrhythmia, heart failure, stroke, pulmonary embolism, cardiac arrest and cardiovascular decompensation occur across intensive care, perioperative care, emergency care, open wards and the transition home. Many are detected late, intermittently or not at all. A 40-year-old with silent ward myocardial infarction, an ICU patient with evolving type 2 myocardial infarction, and a perioperative patient with preventable myocardial injury all sit outside the usual model of specialist cardiovascular response.</w:t>
      </w:r>
    </w:p>
    <w:p w14:paraId="1297B359" w14:textId="77777777" w:rsidR="001A4382" w:rsidRDefault="00000000">
      <w:pPr>
        <w:pStyle w:val="BodyText"/>
      </w:pPr>
      <w:r>
        <w:t>This is a large, high-risk clinical population. Type 2 myocardial infarction accounts for a substantial minority of suspected acute coronary syndrome and admitted hospital cohorts, is as common as type 1 myocardial infarction in older patients, and has poor long-term outcomes. Unselected hospital troponin testing also identifies otherwise unrecognised myocardial injury.[1] The opportunity is therefore not only earlier detection of rare events, but a new pathway for common cardiovascular injury that is currently fragmented, under-investigated and poorly followed up.</w:t>
      </w:r>
    </w:p>
    <w:p w14:paraId="60C813CE" w14:textId="77777777" w:rsidR="001A4382" w:rsidRDefault="00000000">
      <w:pPr>
        <w:pStyle w:val="BodyText"/>
      </w:pPr>
      <w:r>
        <w:t>This leaves an important gap. Acute-care pathways already generate continuous and near-continuous signals of cardiovascular risk: wearable single-lead ECG, bedside monitoring, multi-lead ECG, accelerometry, laboratory biomarkers, medications, observations, imaging, procedures, comorbidities, clinical notes and staff actions. EMUs shows the feasibility of collecting continuous wearable physiological data across perioperative pathways, including shadow-mode evaluation before clinical use.[2,3] These signals are fragmented across systems and rarely interpreted as a coherent cardiovascular trajectory. AI can learn from these multimodal streams, recognise early signatures of evolving ischaemia, and trigger proportionate diagnostic and treatment pathways before irreversible harm occurs.</w:t>
      </w:r>
    </w:p>
    <w:p w14:paraId="76ACA1B2" w14:textId="77777777" w:rsidR="001A4382" w:rsidRDefault="00000000">
      <w:pPr>
        <w:pStyle w:val="BodyText"/>
      </w:pPr>
      <w:r>
        <w:t>The central shift is from cardiovascular care as a location-bound specialist response after a declared event to an anticipatory model that tracks individualised ischaemic trajectories and triggers prevention before avoidable harm occurs.</w:t>
      </w:r>
    </w:p>
    <w:p w14:paraId="57C41E07" w14:textId="77777777" w:rsidR="001A4382" w:rsidRDefault="00000000">
      <w:pPr>
        <w:pStyle w:val="Heading2"/>
      </w:pPr>
      <w:bookmarkStart w:id="4" w:name="the-proposed-programme"/>
      <w:bookmarkEnd w:id="3"/>
      <w:r>
        <w:lastRenderedPageBreak/>
        <w:t>The Proposed Programme</w:t>
      </w:r>
    </w:p>
    <w:p w14:paraId="19C0CFD5" w14:textId="77777777" w:rsidR="001A4382" w:rsidRDefault="00000000">
      <w:pPr>
        <w:pStyle w:val="FirstParagraph"/>
      </w:pPr>
      <w:r>
        <w:t>We will build a five-year national and international programme to create, validate and evaluate an AI-powered cardiovascular event platform across acute-care pathways, using silent and incipient myocardial ischaemia as the first high-value use case. Edinburgh will convene from existing assets in EMUs, ICU-Heart, cardiovascular medicine, informatics, trials and implementation science, but the bid will be designed from the outset as a broad collaborative of acute-care systems, AI groups, trialists, regulators, patients and industry partners.</w:t>
      </w:r>
    </w:p>
    <w:p w14:paraId="14F1D754" w14:textId="77777777" w:rsidR="001A4382" w:rsidRDefault="00000000">
      <w:pPr>
        <w:pStyle w:val="BodyText"/>
      </w:pPr>
      <w:r>
        <w:t>The platform will use continuous single-lead ECG as the core wearable signal, supported by accelerometry, PPG-derived vital signs, routine healthcare data and targeted biomarkers. ANNE One provides a relevant device example: its cleared platform measures ECG waveforms and heart rate, with ECG sampled at 512 Hz, but automated cardiac-condition detection would require new validation and regulatory evidence.[4] The platform will learn patient-specific cardiovascular trajectories, detect hidden or evolving events, recommend pathway actions, and support embedded clinical evaluation. The aim is not another alert score, but a regulated, platform-agnostic cardiovascular learning system that can guide intervention and improve care over time.</w:t>
      </w:r>
    </w:p>
    <w:p w14:paraId="1CDE66CB" w14:textId="77777777" w:rsidR="001A4382" w:rsidRDefault="00000000">
      <w:pPr>
        <w:pStyle w:val="Heading2"/>
      </w:pPr>
      <w:bookmarkStart w:id="5" w:name="why-this-consortium-why-now"/>
      <w:bookmarkEnd w:id="4"/>
      <w:r>
        <w:t>Why This Consortium, Why Now</w:t>
      </w:r>
    </w:p>
    <w:p w14:paraId="1B1A32D8" w14:textId="77777777" w:rsidR="001A4382" w:rsidRDefault="00000000">
      <w:pPr>
        <w:pStyle w:val="FirstParagraph"/>
      </w:pPr>
      <w:r>
        <w:t>The consortium has a distinctive starting point. EMUs is already evaluating wearable continuous sensing in perioperative patients across an international cohort, including shadow-mode monitoring, patient/staff acceptability, data management and AI model development. ICU-Heart is using routine healthcare data to improve outcomes for critically ill patients with cardiovascular disease, including systematic identification of myocardial infarction in ICU and trust in AI decision-making. Edinburgh can convene the clinical, informatics, trials and governance base; national and international partners should provide scale, complementary data environments, causal AI methods, cardiovascular AI expertise and acute-care deployment settings.</w:t>
      </w:r>
    </w:p>
    <w:p w14:paraId="571D4BAE" w14:textId="77777777" w:rsidR="001A4382" w:rsidRDefault="00000000">
      <w:pPr>
        <w:pStyle w:val="BodyText"/>
      </w:pPr>
      <w:r>
        <w:t>The BHF Grand Challenge call fits this proposal: it seeks AI-powered transformation from discovery to clinical practice, with wearables, patient records, multimodal data, prevention, diagnosis, treatment and clinical care all explicitly in scope.</w:t>
      </w:r>
    </w:p>
    <w:p w14:paraId="19ED296E" w14:textId="77777777" w:rsidR="001A4382" w:rsidRDefault="00000000">
      <w:pPr>
        <w:pStyle w:val="Heading2"/>
      </w:pPr>
      <w:bookmarkStart w:id="6" w:name="workstreams"/>
      <w:bookmarkEnd w:id="5"/>
      <w:r>
        <w:t>Workstreams</w:t>
      </w:r>
    </w:p>
    <w:p w14:paraId="3A5B24EC" w14:textId="77777777" w:rsidR="001A4382" w:rsidRDefault="00000000">
      <w:pPr>
        <w:pStyle w:val="FirstParagraph"/>
      </w:pPr>
      <w:r>
        <w:rPr>
          <w:b/>
          <w:bCs/>
        </w:rPr>
        <w:t>1. ECG-led ischaemia and cardiovascular event atlas across acute care.</w:t>
      </w:r>
      <w:r>
        <w:br/>
        <w:t>Create a harmonised, adjudicated, multimodal event atlas across ICU, perioperative care, ED, open wards and post-discharge transition. Use wearable single-lead ECG, five-lead telemetry or bedside monitoring where available, twelve-lead ECG, routine data, labs, imaging, notes and accelerometry to define where acute myocardial injury, chronic myocardial injury, type 1 MI, type 2 MI, non-ischaemic myocardial injury and other cardiovascular events are missed, delayed or preventable.</w:t>
      </w:r>
    </w:p>
    <w:p w14:paraId="55A441E8" w14:textId="77777777" w:rsidR="001A4382" w:rsidRDefault="00000000">
      <w:pPr>
        <w:pStyle w:val="BodyText"/>
      </w:pPr>
      <w:r>
        <w:rPr>
          <w:b/>
          <w:bCs/>
        </w:rPr>
        <w:t>2. Continuous AI for individualised ischaemic trajectories.</w:t>
      </w:r>
      <w:r>
        <w:br/>
        <w:t xml:space="preserve">Develop multimodal AI models that integrate continuous ECG waveform features, signal quality, QRS dynamics, rhythm and ectopy, ST/T-wave morphology where technically robust, accelerometry, PPG-derived vital signs, biomarkers, medications, comorbidity, notes and clinical </w:t>
      </w:r>
      <w:r>
        <w:lastRenderedPageBreak/>
        <w:t>actions. The same ECG and physiological burden may mean different things in a 40-year-old without known coronary disease and an 80-year-old with established three-vessel disease. With CHAI and other AI partners, move beyond risk scores to causal and action-aware models that ask what event is emerging, which mechanism is most likely, what uncertainty remains, and what action is likely to help. This includes distinguishing likely type 1 MI, type 2 MI, non-ischaemic injury and mechanisms such as tachyarrhythmia, hypoxia, anaemia, hypotension, hypertension and underlying coronary disease.</w:t>
      </w:r>
    </w:p>
    <w:p w14:paraId="198148C3" w14:textId="77777777" w:rsidR="001A4382" w:rsidRDefault="00000000">
      <w:pPr>
        <w:pStyle w:val="BodyText"/>
      </w:pPr>
      <w:r>
        <w:rPr>
          <w:b/>
          <w:bCs/>
        </w:rPr>
        <w:t>3. Pathway-aware intervention for T1MI and T2MI.</w:t>
      </w:r>
      <w:r>
        <w:br/>
        <w:t>Design diagnostic and treatment pathways linked to model outputs. Detection should not trigger a generic alert; it should trigger a mechanism-specific pathway. The first step is confirmation: ECG signal quality, motion artefact, repeat or twelve-lead ECG where indicated, troponin/BNP testing, comparison with prior ECG and review of oxygenation, haemoglobin, blood pressure, sepsis, renal function, medications and known coronary disease.</w:t>
      </w:r>
    </w:p>
    <w:p w14:paraId="0FD10E66" w14:textId="77777777" w:rsidR="001A4382" w:rsidRDefault="00000000">
      <w:pPr>
        <w:pStyle w:val="BodyText"/>
      </w:pPr>
      <w:r>
        <w:t>Pathways should then separate likely T1MI, T2MI, non-ischaemic myocardial injury, arrhythmia-led risk and silent evolving ischaemia. Suspected T1MI should trigger urgent diagnostic and cath-lab pathways. T2MI and myocardial injury should trigger management of the supply-demand driver, coronary or cardiac imaging where appropriate, medication review, secondary prevention and structured follow-up where these would otherwise be missed. The research question is not only “can AI predict?” but “can AI change the timing, targeting and quality of care?” The type 2 MI literature supports this gap: there are no dedicated treatment trials exclusively in type 2 MI, and pragmatic complex-intervention evaluation is needed.[1]</w:t>
      </w:r>
    </w:p>
    <w:p w14:paraId="62222350" w14:textId="77777777" w:rsidR="001A4382" w:rsidRDefault="00000000">
      <w:pPr>
        <w:pStyle w:val="BodyText"/>
      </w:pPr>
      <w:r>
        <w:rPr>
          <w:b/>
          <w:bCs/>
        </w:rPr>
        <w:t>4. Trustworthy, regulated clinical AI.</w:t>
      </w:r>
      <w:r>
        <w:br/>
        <w:t>Build explainability, uncertainty, audit trails, bias monitoring, human factors, safety cases, model updating, prospective shadow-mode testing and regulatory evidence into the programme from day one. This is essential because wearable ECG waveforms can support monitoring and interpretation, but automated cardiac-condition detection and classification require new validation and regulatory evidence.</w:t>
      </w:r>
    </w:p>
    <w:p w14:paraId="52B1A01C" w14:textId="77777777" w:rsidR="001A4382" w:rsidRDefault="00000000">
      <w:pPr>
        <w:pStyle w:val="BodyText"/>
      </w:pPr>
      <w:r>
        <w:rPr>
          <w:b/>
          <w:bCs/>
        </w:rPr>
        <w:t>5. Embedded evaluation and adaptive trials.</w:t>
      </w:r>
      <w:r>
        <w:br/>
        <w:t>Use ECTU and international partners to evaluate the platform through staged studies: retrospective discovery; prospective shadow-mode validation; silent-impact analysis; pragmatic multicentre pathway trials; health-economic evaluation; and implementation studies. Evaluation should include clinical benefit, missed-event reduction, follow-up, quality of life, resource use and safety signals including overtreatment, bleeding risk and competing mortality. Cost-effectiveness should be tested, not assumed: the economic case depends on targeting review, biomarkers, imaging and treatment to patients most likely to benefit while avoiding low-value alerts and unnecessary investigations.</w:t>
      </w:r>
    </w:p>
    <w:p w14:paraId="0358292B" w14:textId="77777777" w:rsidR="001A4382" w:rsidRDefault="00000000">
      <w:pPr>
        <w:pStyle w:val="Heading2"/>
      </w:pPr>
      <w:bookmarkStart w:id="7" w:name="team-and-partners-to-assemble"/>
      <w:bookmarkEnd w:id="6"/>
      <w:r>
        <w:t>Team And Partners To Assemble</w:t>
      </w:r>
    </w:p>
    <w:p w14:paraId="683005AD" w14:textId="77777777" w:rsidR="001A4382" w:rsidRDefault="00000000">
      <w:pPr>
        <w:pStyle w:val="FirstParagraph"/>
      </w:pPr>
      <w:r>
        <w:t xml:space="preserve">The Edinburgh convening team should include EMUs, ICU-Heart, Usher informatics, cardiology/SNCR, CSE/AI, ECTU, implementation science, health economics, </w:t>
      </w:r>
      <w:r>
        <w:lastRenderedPageBreak/>
        <w:t>governance/regulation and PPIE, with an explicit brief to assemble the strongest wider consortium rather than present this as a single-centre programme.</w:t>
      </w:r>
    </w:p>
    <w:p w14:paraId="15569A63" w14:textId="77777777" w:rsidR="001A4382" w:rsidRDefault="00000000">
      <w:pPr>
        <w:pStyle w:val="BodyText"/>
      </w:pPr>
      <w:r>
        <w:t>External partners should be selected for unique contributions rather than breadth alone. Candidate categories include:</w:t>
      </w:r>
    </w:p>
    <w:p w14:paraId="366D87F4" w14:textId="77777777" w:rsidR="001A4382" w:rsidRDefault="00000000">
      <w:pPr>
        <w:pStyle w:val="Compact"/>
        <w:numPr>
          <w:ilvl w:val="0"/>
          <w:numId w:val="2"/>
        </w:numPr>
      </w:pPr>
      <w:r>
        <w:t>Industry sensing/device partner, likely Sibel Health if strategic fit and in-kind support are credible.</w:t>
      </w:r>
    </w:p>
    <w:p w14:paraId="23057A21" w14:textId="77777777" w:rsidR="001A4382" w:rsidRDefault="00000000">
      <w:pPr>
        <w:pStyle w:val="Compact"/>
        <w:numPr>
          <w:ilvl w:val="0"/>
          <w:numId w:val="2"/>
        </w:numPr>
      </w:pPr>
      <w:r>
        <w:t>CHAI, the Causality in Healthcare AI Hub, as a core causal AI partner for action-aware decision support, transportability, fairness and clinical-policy modelling.</w:t>
      </w:r>
    </w:p>
    <w:p w14:paraId="242AF957" w14:textId="77777777" w:rsidR="001A4382" w:rsidRDefault="00000000">
      <w:pPr>
        <w:pStyle w:val="Compact"/>
        <w:numPr>
          <w:ilvl w:val="0"/>
          <w:numId w:val="2"/>
        </w:numPr>
      </w:pPr>
      <w:r>
        <w:t>A major North American cardiovascular AI and clinical-deployment partner, particularly around multimodal cardiology AI, imaging/ECG/EHR integration and prospective evaluation.</w:t>
      </w:r>
    </w:p>
    <w:p w14:paraId="1FAC3EAC" w14:textId="77777777" w:rsidR="001A4382" w:rsidRDefault="00000000">
      <w:pPr>
        <w:pStyle w:val="Compact"/>
        <w:numPr>
          <w:ilvl w:val="0"/>
          <w:numId w:val="2"/>
        </w:numPr>
      </w:pPr>
      <w:r>
        <w:t>Leading AI methods groups in multimodal time-series learning and foundation models for healthcare.</w:t>
      </w:r>
    </w:p>
    <w:p w14:paraId="2DED0B93" w14:textId="77777777" w:rsidR="001A4382" w:rsidRDefault="00000000">
      <w:pPr>
        <w:pStyle w:val="Compact"/>
        <w:numPr>
          <w:ilvl w:val="0"/>
          <w:numId w:val="2"/>
        </w:numPr>
      </w:pPr>
      <w:r>
        <w:t>Global-north acute-care systems with mature EHR, ICU/perioperative/ward data and ability to run prospective validation.</w:t>
      </w:r>
    </w:p>
    <w:p w14:paraId="79E1DDFE" w14:textId="77777777" w:rsidR="001A4382" w:rsidRDefault="00000000">
      <w:pPr>
        <w:pStyle w:val="Compact"/>
        <w:numPr>
          <w:ilvl w:val="0"/>
          <w:numId w:val="2"/>
        </w:numPr>
      </w:pPr>
      <w:r>
        <w:t>King’s/London digital twin collaborators if this strengthens action-aware modelling and simulation.</w:t>
      </w:r>
    </w:p>
    <w:p w14:paraId="690E4013" w14:textId="77777777" w:rsidR="001A4382" w:rsidRDefault="00000000">
      <w:pPr>
        <w:pStyle w:val="Compact"/>
        <w:numPr>
          <w:ilvl w:val="0"/>
          <w:numId w:val="2"/>
        </w:numPr>
      </w:pPr>
      <w:r>
        <w:t>HDR UK/BHF Data Science Centre and Scottish cardiac imaging/data infrastructure if these become central.</w:t>
      </w:r>
    </w:p>
    <w:p w14:paraId="62BCFAD5" w14:textId="77777777" w:rsidR="001A4382" w:rsidRDefault="00000000">
      <w:pPr>
        <w:pStyle w:val="Compact"/>
        <w:numPr>
          <w:ilvl w:val="0"/>
          <w:numId w:val="2"/>
        </w:numPr>
      </w:pPr>
      <w:r>
        <w:t>Regulatory, clinical safety and implementation partners able to support a credible route to deployment.</w:t>
      </w:r>
    </w:p>
    <w:p w14:paraId="06EFA6BB" w14:textId="77777777" w:rsidR="001A4382" w:rsidRDefault="00000000">
      <w:pPr>
        <w:pStyle w:val="Heading2"/>
      </w:pPr>
      <w:bookmarkStart w:id="8" w:name="patient-and-public-involvement"/>
      <w:bookmarkEnd w:id="7"/>
      <w:r>
        <w:t>Patient And Public Involvement</w:t>
      </w:r>
    </w:p>
    <w:p w14:paraId="32DC163F" w14:textId="77777777" w:rsidR="001A4382" w:rsidRDefault="00000000">
      <w:pPr>
        <w:pStyle w:val="FirstParagraph"/>
      </w:pPr>
      <w:r>
        <w:t>PPIE should shape the programme from the start. Patients and carers should help define acceptable monitoring, event priorities, alert/action thresholds, consent models, equity concerns, post-discharge use, and how AI uncertainty is communicated.</w:t>
      </w:r>
    </w:p>
    <w:p w14:paraId="404E3F36" w14:textId="77777777" w:rsidR="001A4382" w:rsidRDefault="00000000">
      <w:pPr>
        <w:pStyle w:val="Heading2"/>
      </w:pPr>
      <w:bookmarkStart w:id="9" w:name="what-success-looks-like"/>
      <w:bookmarkEnd w:id="8"/>
      <w:r>
        <w:t>What Success Looks Like</w:t>
      </w:r>
    </w:p>
    <w:p w14:paraId="14DBC9AB" w14:textId="77777777" w:rsidR="001A4382" w:rsidRDefault="00000000">
      <w:pPr>
        <w:pStyle w:val="FirstParagraph"/>
      </w:pPr>
      <w:r>
        <w:t>By year five, the programme should deliver:</w:t>
      </w:r>
    </w:p>
    <w:p w14:paraId="4ED470CC" w14:textId="77777777" w:rsidR="001A4382" w:rsidRDefault="00000000">
      <w:pPr>
        <w:pStyle w:val="Compact"/>
        <w:numPr>
          <w:ilvl w:val="0"/>
          <w:numId w:val="3"/>
        </w:numPr>
      </w:pPr>
      <w:r>
        <w:t>The first cross-pathway cardiovascular event atlas linking continuous physiology, biomarkers and routine clinical data.</w:t>
      </w:r>
    </w:p>
    <w:p w14:paraId="46F82D7B" w14:textId="77777777" w:rsidR="001A4382" w:rsidRDefault="00000000">
      <w:pPr>
        <w:pStyle w:val="Compact"/>
        <w:numPr>
          <w:ilvl w:val="0"/>
          <w:numId w:val="3"/>
        </w:numPr>
      </w:pPr>
      <w:r>
        <w:t>Validated AI models for individualised ischaemic trajectories and early prediction of major cardiovascular events across ICU, perioperative and ward settings.</w:t>
      </w:r>
    </w:p>
    <w:p w14:paraId="39F5ACB0" w14:textId="77777777" w:rsidR="001A4382" w:rsidRDefault="00000000">
      <w:pPr>
        <w:pStyle w:val="Compact"/>
        <w:numPr>
          <w:ilvl w:val="0"/>
          <w:numId w:val="3"/>
        </w:numPr>
      </w:pPr>
      <w:r>
        <w:t>A tested clinical pathway showing whether AI-triggered cardiovascular review and intervention improves diagnosis, treatment timing, follow-up, quality of life, outcomes and resource use.</w:t>
      </w:r>
    </w:p>
    <w:p w14:paraId="20EEB016" w14:textId="77777777" w:rsidR="001A4382" w:rsidRDefault="00000000">
      <w:pPr>
        <w:pStyle w:val="Compact"/>
        <w:numPr>
          <w:ilvl w:val="0"/>
          <w:numId w:val="3"/>
        </w:numPr>
      </w:pPr>
      <w:r>
        <w:t>A regulatory and governance evidence package for safe clinical deployment.</w:t>
      </w:r>
    </w:p>
    <w:p w14:paraId="7FE5EECA" w14:textId="77777777" w:rsidR="001A4382" w:rsidRDefault="00000000">
      <w:pPr>
        <w:pStyle w:val="Compact"/>
        <w:numPr>
          <w:ilvl w:val="0"/>
          <w:numId w:val="3"/>
        </w:numPr>
      </w:pPr>
      <w:r>
        <w:t>A reusable international learning-health-system platform for cardiovascular prevention in acute care.</w:t>
      </w:r>
    </w:p>
    <w:p w14:paraId="3306C16E" w14:textId="77777777" w:rsidR="001A4382" w:rsidRDefault="00000000">
      <w:pPr>
        <w:pStyle w:val="Heading2"/>
      </w:pPr>
      <w:bookmarkStart w:id="10" w:name="why-this-is-a-grand-challenge"/>
      <w:bookmarkEnd w:id="9"/>
      <w:r>
        <w:lastRenderedPageBreak/>
        <w:t>Why This Is A Grand Challenge</w:t>
      </w:r>
    </w:p>
    <w:p w14:paraId="25377127" w14:textId="77777777" w:rsidR="001A4382" w:rsidRDefault="00000000">
      <w:pPr>
        <w:pStyle w:val="FirstParagraph"/>
      </w:pPr>
      <w:r>
        <w:t>This is not a device study and not a ward-alert project. It is a proposal to change how cardiovascular care is delivered. Today, patients receive continuous cardiovascular expertise only in selected places, after selected events, for selected people. The proposed programme would use AI to connect signals that are already present but clinically invisible, and bring cardiovascular intelligence into routine decisions across acute-care pathways. If successful, it would shift the system from episodic rescue to continuous prevention.</w:t>
      </w:r>
    </w:p>
    <w:p w14:paraId="5AFCB6FD" w14:textId="77777777" w:rsidR="001A4382" w:rsidRDefault="00000000">
      <w:pPr>
        <w:pStyle w:val="Heading2"/>
      </w:pPr>
      <w:bookmarkStart w:id="11" w:name="references"/>
      <w:bookmarkEnd w:id="10"/>
      <w:r>
        <w:t>References</w:t>
      </w:r>
    </w:p>
    <w:p w14:paraId="2C04EF3D" w14:textId="77777777" w:rsidR="001A4382" w:rsidRDefault="00000000">
      <w:pPr>
        <w:pStyle w:val="Compact"/>
        <w:numPr>
          <w:ilvl w:val="0"/>
          <w:numId w:val="4"/>
        </w:numPr>
      </w:pPr>
      <w:r>
        <w:t>Type 2 myocardial infarction: challenges in diagnosis and treatment. European Heart Journal. 2025;46:504-517. doi:10.1093/eurheartj/ehae803</w:t>
      </w:r>
    </w:p>
    <w:p w14:paraId="545ABD24" w14:textId="77777777" w:rsidR="001A4382" w:rsidRDefault="00000000">
      <w:pPr>
        <w:pStyle w:val="Compact"/>
        <w:numPr>
          <w:ilvl w:val="0"/>
          <w:numId w:val="4"/>
        </w:numPr>
      </w:pPr>
      <w:r>
        <w:t>Enhanced Monitoring Using Sensors After Surgery (EMUs) protocol. BMJ Open. 2025;15:e104463. https://bmjopen.bmj.com/content/15/10/e104463</w:t>
      </w:r>
    </w:p>
    <w:p w14:paraId="381700F2" w14:textId="77777777" w:rsidR="001A4382" w:rsidRDefault="00000000">
      <w:pPr>
        <w:pStyle w:val="Compact"/>
        <w:numPr>
          <w:ilvl w:val="0"/>
          <w:numId w:val="4"/>
        </w:numPr>
      </w:pPr>
      <w:r>
        <w:t>Enhanced Monitoring Using Sensors After Surgery (EMUs). ClinicalTrials.gov identifier: NCT06565559. https://clinicaltrials.gov/study/NCT06565559</w:t>
      </w:r>
    </w:p>
    <w:p w14:paraId="658C08D9" w14:textId="77777777" w:rsidR="001A4382" w:rsidRDefault="00000000">
      <w:pPr>
        <w:pStyle w:val="Compact"/>
        <w:numPr>
          <w:ilvl w:val="0"/>
          <w:numId w:val="4"/>
        </w:numPr>
      </w:pPr>
      <w:r>
        <w:t>ANNE One FDA 510(k) summary K223711. https://www.accessdata.fda.gov/cdrh_docs/pdf22/K223711.pdf</w:t>
      </w:r>
      <w:bookmarkEnd w:id="0"/>
      <w:bookmarkEnd w:id="11"/>
    </w:p>
    <w:sectPr w:rsidR="001A438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A07F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9E65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FD8E2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4658693">
    <w:abstractNumId w:val="0"/>
  </w:num>
  <w:num w:numId="2" w16cid:durableId="1926839438">
    <w:abstractNumId w:val="1"/>
  </w:num>
  <w:num w:numId="3" w16cid:durableId="1465999560">
    <w:abstractNumId w:val="1"/>
  </w:num>
  <w:num w:numId="4" w16cid:durableId="2136288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A4382"/>
    <w:rsid w:val="001A4382"/>
    <w:rsid w:val="007B0C25"/>
    <w:rsid w:val="00C1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8850"/>
  <w15:docId w15:val="{54DC1DB0-B1AD-4A86-A712-0AA494AC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6087"/>
  </w:style>
  <w:style w:type="paragraph" w:styleId="Heading1">
    <w:name w:val="heading 1"/>
    <w:basedOn w:val="Normal"/>
    <w:next w:val="Normal"/>
    <w:link w:val="Heading1Char"/>
    <w:uiPriority w:val="9"/>
    <w:qFormat/>
    <w:rsid w:val="00C1608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C1608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C1608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C1608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C1608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C16087"/>
    <w:pPr>
      <w:keepNext/>
      <w:keepLines/>
      <w:spacing w:before="40" w:after="0"/>
      <w:outlineLvl w:val="5"/>
    </w:pPr>
  </w:style>
  <w:style w:type="paragraph" w:styleId="Heading7">
    <w:name w:val="heading 7"/>
    <w:basedOn w:val="Normal"/>
    <w:next w:val="Normal"/>
    <w:link w:val="Heading7Char"/>
    <w:uiPriority w:val="9"/>
    <w:semiHidden/>
    <w:unhideWhenUsed/>
    <w:qFormat/>
    <w:rsid w:val="00C1608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1608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C1608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C1608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1608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1608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16087"/>
    <w:rPr>
      <w:color w:val="5A5A5A" w:themeColor="text1" w:themeTint="A5"/>
      <w:spacing w:val="15"/>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C1608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C1608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C1608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C16087"/>
    <w:rPr>
      <w:i/>
      <w:iCs/>
    </w:rPr>
  </w:style>
  <w:style w:type="character" w:customStyle="1" w:styleId="Heading5Char">
    <w:name w:val="Heading 5 Char"/>
    <w:basedOn w:val="DefaultParagraphFont"/>
    <w:link w:val="Heading5"/>
    <w:uiPriority w:val="9"/>
    <w:semiHidden/>
    <w:rsid w:val="00C16087"/>
    <w:rPr>
      <w:color w:val="404040" w:themeColor="text1" w:themeTint="BF"/>
    </w:rPr>
  </w:style>
  <w:style w:type="character" w:customStyle="1" w:styleId="Heading6Char">
    <w:name w:val="Heading 6 Char"/>
    <w:basedOn w:val="DefaultParagraphFont"/>
    <w:link w:val="Heading6"/>
    <w:uiPriority w:val="9"/>
    <w:semiHidden/>
    <w:rsid w:val="00C16087"/>
  </w:style>
  <w:style w:type="character" w:customStyle="1" w:styleId="Heading7Char">
    <w:name w:val="Heading 7 Char"/>
    <w:basedOn w:val="DefaultParagraphFont"/>
    <w:link w:val="Heading7"/>
    <w:uiPriority w:val="9"/>
    <w:semiHidden/>
    <w:rsid w:val="00C1608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16087"/>
    <w:rPr>
      <w:color w:val="262626" w:themeColor="text1" w:themeTint="D9"/>
      <w:sz w:val="21"/>
      <w:szCs w:val="21"/>
    </w:rPr>
  </w:style>
  <w:style w:type="character" w:customStyle="1" w:styleId="Heading9Char">
    <w:name w:val="Heading 9 Char"/>
    <w:basedOn w:val="DefaultParagraphFont"/>
    <w:link w:val="Heading9"/>
    <w:uiPriority w:val="9"/>
    <w:semiHidden/>
    <w:rsid w:val="00C16087"/>
    <w:rPr>
      <w:rFonts w:asciiTheme="majorHAnsi" w:eastAsiaTheme="majorEastAsia" w:hAnsiTheme="majorHAnsi" w:cstheme="majorBidi"/>
      <w:i/>
      <w:iCs/>
      <w:color w:val="262626" w:themeColor="text1" w:themeTint="D9"/>
      <w:sz w:val="21"/>
      <w:szCs w:val="21"/>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C16087"/>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rPr>
      <w:i/>
      <w:iCs/>
      <w:color w:val="156082" w:themeColor="accent1"/>
      <w:sz w:val="18"/>
      <w:szCs w:val="18"/>
    </w:rPr>
  </w:style>
  <w:style w:type="paragraph" w:styleId="TOCHeading">
    <w:name w:val="TOC Heading"/>
    <w:basedOn w:val="Heading1"/>
    <w:next w:val="Normal"/>
    <w:uiPriority w:val="39"/>
    <w:unhideWhenUsed/>
    <w:qFormat/>
    <w:rsid w:val="00C16087"/>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character" w:styleId="Strong">
    <w:name w:val="Strong"/>
    <w:basedOn w:val="DefaultParagraphFont"/>
    <w:uiPriority w:val="22"/>
    <w:qFormat/>
    <w:rsid w:val="00C16087"/>
    <w:rPr>
      <w:b/>
      <w:bCs/>
      <w:color w:val="auto"/>
    </w:rPr>
  </w:style>
  <w:style w:type="character" w:styleId="Emphasis">
    <w:name w:val="Emphasis"/>
    <w:basedOn w:val="DefaultParagraphFont"/>
    <w:uiPriority w:val="20"/>
    <w:qFormat/>
    <w:rsid w:val="00C16087"/>
    <w:rPr>
      <w:i/>
      <w:iCs/>
      <w:color w:val="auto"/>
    </w:rPr>
  </w:style>
  <w:style w:type="paragraph" w:styleId="NoSpacing">
    <w:name w:val="No Spacing"/>
    <w:uiPriority w:val="1"/>
    <w:qFormat/>
    <w:rsid w:val="00C16087"/>
    <w:pPr>
      <w:spacing w:after="0" w:line="240" w:lineRule="auto"/>
    </w:pPr>
  </w:style>
  <w:style w:type="paragraph" w:styleId="Quote">
    <w:name w:val="Quote"/>
    <w:basedOn w:val="Normal"/>
    <w:next w:val="Normal"/>
    <w:link w:val="QuoteChar"/>
    <w:uiPriority w:val="29"/>
    <w:qFormat/>
    <w:rsid w:val="00C1608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16087"/>
    <w:rPr>
      <w:i/>
      <w:iCs/>
      <w:color w:val="404040" w:themeColor="text1" w:themeTint="BF"/>
    </w:rPr>
  </w:style>
  <w:style w:type="paragraph" w:styleId="IntenseQuote">
    <w:name w:val="Intense Quote"/>
    <w:basedOn w:val="Normal"/>
    <w:next w:val="Normal"/>
    <w:link w:val="IntenseQuoteChar"/>
    <w:uiPriority w:val="30"/>
    <w:qFormat/>
    <w:rsid w:val="00C1608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16087"/>
    <w:rPr>
      <w:i/>
      <w:iCs/>
      <w:color w:val="404040" w:themeColor="text1" w:themeTint="BF"/>
    </w:rPr>
  </w:style>
  <w:style w:type="character" w:styleId="SubtleEmphasis">
    <w:name w:val="Subtle Emphasis"/>
    <w:basedOn w:val="DefaultParagraphFont"/>
    <w:uiPriority w:val="19"/>
    <w:qFormat/>
    <w:rsid w:val="00C16087"/>
    <w:rPr>
      <w:i/>
      <w:iCs/>
      <w:color w:val="404040" w:themeColor="text1" w:themeTint="BF"/>
    </w:rPr>
  </w:style>
  <w:style w:type="character" w:styleId="IntenseEmphasis">
    <w:name w:val="Intense Emphasis"/>
    <w:basedOn w:val="DefaultParagraphFont"/>
    <w:uiPriority w:val="21"/>
    <w:qFormat/>
    <w:rsid w:val="00C16087"/>
    <w:rPr>
      <w:b/>
      <w:bCs/>
      <w:i/>
      <w:iCs/>
      <w:color w:val="auto"/>
    </w:rPr>
  </w:style>
  <w:style w:type="character" w:styleId="SubtleReference">
    <w:name w:val="Subtle Reference"/>
    <w:basedOn w:val="DefaultParagraphFont"/>
    <w:uiPriority w:val="31"/>
    <w:qFormat/>
    <w:rsid w:val="00C16087"/>
    <w:rPr>
      <w:smallCaps/>
      <w:color w:val="404040" w:themeColor="text1" w:themeTint="BF"/>
    </w:rPr>
  </w:style>
  <w:style w:type="character" w:styleId="IntenseReference">
    <w:name w:val="Intense Reference"/>
    <w:basedOn w:val="DefaultParagraphFont"/>
    <w:uiPriority w:val="32"/>
    <w:qFormat/>
    <w:rsid w:val="00C16087"/>
    <w:rPr>
      <w:b/>
      <w:bCs/>
      <w:smallCaps/>
      <w:color w:val="404040" w:themeColor="text1" w:themeTint="BF"/>
      <w:spacing w:val="5"/>
    </w:rPr>
  </w:style>
  <w:style w:type="character" w:styleId="BookTitle">
    <w:name w:val="Book Title"/>
    <w:basedOn w:val="DefaultParagraphFont"/>
    <w:uiPriority w:val="33"/>
    <w:qFormat/>
    <w:rsid w:val="00C1608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10564</Characters>
  <Application>Microsoft Office Word</Application>
  <DocSecurity>0</DocSecurity>
  <Lines>88</Lines>
  <Paragraphs>24</Paragraphs>
  <ScaleCrop>false</ScaleCrop>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Ewen Harrison</cp:lastModifiedBy>
  <cp:revision>2</cp:revision>
  <dcterms:created xsi:type="dcterms:W3CDTF">2026-05-01T06:43:00Z</dcterms:created>
  <dcterms:modified xsi:type="dcterms:W3CDTF">2026-05-01T06:46:00Z</dcterms:modified>
</cp:coreProperties>
</file>