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1A56DB" w:val="clear"/>
            <w:tcMar>
              <w:top w:type="dxa" w:w="600"/>
              <w:left w:type="dxa" w:w="480"/>
              <w:bottom w:type="dxa" w:w="600"/>
              <w:right w:type="dxa" w:w="480"/>
            </w:tcMar>
          </w:tcPr>
          <w:p>
            <w:pPr>
              <w:spacing w:before="0" w:after="120"/>
              <w:jc w:val="center"/>
            </w:pPr>
            <w:r>
              <w:rPr>
                <w:rFonts w:ascii="Arial" w:cs="Arial" w:eastAsia="Arial" w:hAnsi="Arial"/>
                <w:b/>
                <w:bCs/>
                <w:color w:val="FFFFFF"/>
                <w:sz w:val="64"/>
                <w:szCs w:val="64"/>
              </w:rPr>
              <w:t xml:space="preserve">🍽️  ChefAI</w:t>
            </w:r>
          </w:p>
          <w:p>
            <w:pPr>
              <w:spacing w:before="0" w:after="200"/>
              <w:jc w:val="center"/>
            </w:pPr>
            <w:r>
              <w:rPr>
                <w:rFonts w:ascii="Arial" w:cs="Arial" w:eastAsia="Arial" w:hAnsi="Arial"/>
                <w:i/>
                <w:iCs/>
                <w:color w:val="BDD7FF"/>
                <w:sz w:val="28"/>
                <w:szCs w:val="28"/>
              </w:rPr>
              <w:t xml:space="preserve">Intelligence Artificielle pour la Cuisine de Restaurant</w:t>
            </w:r>
          </w:p>
          <w:p>
            <w:pPr>
              <w:jc w:val="center"/>
            </w:pPr>
            <w:r>
              <w:rPr>
                <w:rFonts w:ascii="Arial" w:cs="Arial" w:eastAsia="Arial" w:hAnsi="Arial"/>
                <w:color w:val="BDD7FF"/>
                <w:sz w:val="20"/>
                <w:szCs w:val="20"/>
              </w:rPr>
              <w:t xml:space="preserve">SPÉCIFICATIONS PRODUIT  •  v1.0  •  2025</w:t>
            </w:r>
          </w:p>
        </w:tc>
      </w:tr>
    </w:tbl>
    <w:p>
      <w:pPr>
        <w:spacing w:before="400"/>
      </w:pPr>
    </w:p>
    <w:p>
      <w:pPr>
        <w:pStyle w:val="Heading1"/>
        <w:pBdr>
          <w:bottom w:val="single" w:color="1A56DB" w:sz="3" w:space="6"/>
        </w:pBdr>
        <w:spacing w:before="400" w:after="200"/>
      </w:pPr>
      <w:r>
        <w:rPr>
          <w:rFonts w:ascii="Arial" w:cs="Arial" w:eastAsia="Arial" w:hAnsi="Arial"/>
          <w:b/>
          <w:bCs/>
          <w:color w:val="1E293B"/>
          <w:sz w:val="36"/>
          <w:szCs w:val="36"/>
        </w:rPr>
        <w:t xml:space="preserve">1. Résumé Exécutif</w:t>
      </w:r>
    </w:p>
    <w:p>
      <w:pPr>
        <w:spacing w:before="80" w:after="80"/>
      </w:pPr>
      <w:r>
        <w:rPr>
          <w:rFonts w:ascii="Arial" w:cs="Arial" w:eastAsia="Arial" w:hAnsi="Arial"/>
          <w:b w:val="false"/>
          <w:bCs w:val="false"/>
          <w:i w:val="false"/>
          <w:iCs w:val="false"/>
          <w:color w:val="1E293B"/>
          <w:sz w:val="22"/>
          <w:szCs w:val="22"/>
        </w:rPr>
        <w:t xml:space="preserve">ChefAI est un SaaS d'intelligence artificielle conçu pour transformer la gestion opérationnelle des cuisines de restaurant. En combinant analyse prédictive, gestion des stocks en temps réel et optimisation automatisée des commandes, ChefAI permet aux établissements de réduire drastiquement le gaspillage alimentaire, d'améliorer la rentabilité et de libérer du temps aux chefs.</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EBF2FF" w:val="clear"/>
            <w:tcMar>
              <w:top w:type="dxa" w:w="120"/>
              <w:left w:type="dxa" w:w="180"/>
              <w:bottom w:type="dxa" w:w="120"/>
              <w:right w:type="dxa" w:w="180"/>
            </w:tcMar>
          </w:tcPr>
          <w:p>
            <w:pPr>
              <w:jc w:val="center"/>
            </w:pPr>
            <w:r>
              <w:rPr>
                <w:rFonts w:ascii="Arial" w:cs="Arial" w:eastAsia="Arial" w:hAnsi="Arial"/>
                <w:b/>
                <w:bCs/>
                <w:color w:val="1A56DB"/>
                <w:sz w:val="40"/>
                <w:szCs w:val="40"/>
              </w:rPr>
              <w:t xml:space="preserve">–32%</w:t>
            </w:r>
          </w:p>
          <w:p>
            <w:pPr>
              <w:jc w:val="center"/>
            </w:pPr>
            <w:r>
              <w:rPr>
                <w:rFonts w:ascii="Arial" w:cs="Arial" w:eastAsia="Arial" w:hAnsi="Arial"/>
                <w:b/>
                <w:bCs/>
                <w:color w:val="1E293B"/>
                <w:sz w:val="20"/>
                <w:szCs w:val="20"/>
              </w:rPr>
              <w:t xml:space="preserve">Réduction gaspillage</w:t>
            </w:r>
          </w:p>
          <w:p>
            <w:pPr>
              <w:jc w:val="center"/>
            </w:pPr>
            <w:r>
              <w:rPr>
                <w:rFonts w:ascii="Arial" w:cs="Arial" w:eastAsia="Arial" w:hAnsi="Arial"/>
                <w:i/>
                <w:iCs/>
                <w:color w:val="64748B"/>
                <w:sz w:val="18"/>
                <w:szCs w:val="18"/>
              </w:rPr>
              <w:t xml:space="preserve">estimé dès le 1er mois</w:t>
            </w:r>
          </w:p>
        </w:tc>
        <w:tc>
          <w:tcPr>
            <w:tcW w:type="dxa" w:w="3120"/>
            <w:tcBorders>
              <w:top w:val="single" w:color="E2E8F0" w:sz="1"/>
              <w:left w:val="single" w:color="E2E8F0" w:sz="1"/>
              <w:bottom w:val="single" w:color="E2E8F0" w:sz="1"/>
              <w:right w:val="single" w:color="E2E8F0" w:sz="1"/>
            </w:tcBorders>
            <w:shd w:fill="EBF2FF" w:val="clear"/>
            <w:tcMar>
              <w:top w:type="dxa" w:w="120"/>
              <w:left w:type="dxa" w:w="180"/>
              <w:bottom w:type="dxa" w:w="120"/>
              <w:right w:type="dxa" w:w="180"/>
            </w:tcMar>
          </w:tcPr>
          <w:p>
            <w:pPr>
              <w:jc w:val="center"/>
            </w:pPr>
            <w:r>
              <w:rPr>
                <w:rFonts w:ascii="Arial" w:cs="Arial" w:eastAsia="Arial" w:hAnsi="Arial"/>
                <w:b/>
                <w:bCs/>
                <w:color w:val="1A56DB"/>
                <w:sz w:val="40"/>
                <w:szCs w:val="40"/>
              </w:rPr>
              <w:t xml:space="preserve">+8h</w:t>
            </w:r>
          </w:p>
          <w:p>
            <w:pPr>
              <w:jc w:val="center"/>
            </w:pPr>
            <w:r>
              <w:rPr>
                <w:rFonts w:ascii="Arial" w:cs="Arial" w:eastAsia="Arial" w:hAnsi="Arial"/>
                <w:b/>
                <w:bCs/>
                <w:color w:val="1E293B"/>
                <w:sz w:val="20"/>
                <w:szCs w:val="20"/>
              </w:rPr>
              <w:t xml:space="preserve">Gain de temps/semaine</w:t>
            </w:r>
          </w:p>
          <w:p>
            <w:pPr>
              <w:jc w:val="center"/>
            </w:pPr>
            <w:r>
              <w:rPr>
                <w:rFonts w:ascii="Arial" w:cs="Arial" w:eastAsia="Arial" w:hAnsi="Arial"/>
                <w:i/>
                <w:iCs/>
                <w:color w:val="64748B"/>
                <w:sz w:val="18"/>
                <w:szCs w:val="18"/>
              </w:rPr>
              <w:t xml:space="preserve">par chef de cuisine</w:t>
            </w:r>
          </w:p>
        </w:tc>
        <w:tc>
          <w:tcPr>
            <w:tcW w:type="dxa" w:w="3120"/>
            <w:tcBorders>
              <w:top w:val="single" w:color="E2E8F0" w:sz="1"/>
              <w:left w:val="single" w:color="E2E8F0" w:sz="1"/>
              <w:bottom w:val="single" w:color="E2E8F0" w:sz="1"/>
              <w:right w:val="single" w:color="E2E8F0" w:sz="1"/>
            </w:tcBorders>
            <w:shd w:fill="EBF2FF" w:val="clear"/>
            <w:tcMar>
              <w:top w:type="dxa" w:w="120"/>
              <w:left w:type="dxa" w:w="180"/>
              <w:bottom w:type="dxa" w:w="120"/>
              <w:right w:type="dxa" w:w="180"/>
            </w:tcMar>
          </w:tcPr>
          <w:p>
            <w:pPr>
              <w:jc w:val="center"/>
            </w:pPr>
            <w:r>
              <w:rPr>
                <w:rFonts w:ascii="Arial" w:cs="Arial" w:eastAsia="Arial" w:hAnsi="Arial"/>
                <w:b/>
                <w:bCs/>
                <w:color w:val="1A56DB"/>
                <w:sz w:val="40"/>
                <w:szCs w:val="40"/>
              </w:rPr>
              <w:t xml:space="preserve">&lt; 3 mois</w:t>
            </w:r>
          </w:p>
          <w:p>
            <w:pPr>
              <w:jc w:val="center"/>
            </w:pPr>
            <w:r>
              <w:rPr>
                <w:rFonts w:ascii="Arial" w:cs="Arial" w:eastAsia="Arial" w:hAnsi="Arial"/>
                <w:b/>
                <w:bCs/>
                <w:color w:val="1E293B"/>
                <w:sz w:val="20"/>
                <w:szCs w:val="20"/>
              </w:rPr>
              <w:t xml:space="preserve">ROI moyen</w:t>
            </w:r>
          </w:p>
          <w:p>
            <w:pPr>
              <w:jc w:val="center"/>
            </w:pPr>
            <w:r>
              <w:rPr>
                <w:rFonts w:ascii="Arial" w:cs="Arial" w:eastAsia="Arial" w:hAnsi="Arial"/>
                <w:i/>
                <w:iCs/>
                <w:color w:val="64748B"/>
                <w:sz w:val="18"/>
                <w:szCs w:val="18"/>
              </w:rPr>
              <w:t xml:space="preserve">pour un restaurant 50 cvts</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2. Problèmes Résolus</w:t>
      </w:r>
    </w:p>
    <w:p>
      <w:pPr>
        <w:spacing w:before="80" w:after="80"/>
      </w:pPr>
      <w:r>
        <w:rPr>
          <w:rFonts w:ascii="Arial" w:cs="Arial" w:eastAsia="Arial" w:hAnsi="Arial"/>
          <w:b w:val="false"/>
          <w:bCs w:val="false"/>
          <w:i w:val="false"/>
          <w:iCs w:val="false"/>
          <w:color w:val="1E293B"/>
          <w:sz w:val="22"/>
          <w:szCs w:val="22"/>
        </w:rPr>
        <w:t xml:space="preserve">Les cuisines professionnelles font face à des défis opérationnels chroniques, peu digitalisés :</w:t>
      </w:r>
    </w:p>
    <w:p>
      <w:pPr>
        <w:spacing w:before="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Gaspillage alimentaire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30% des produits achetés finissent à la poubelle en moyenne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Critique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Gestion des stocks manuelle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Inventaires papier, erreurs de comptage, ruptures surprise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Critique</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Prévision de la demande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Impossible de prévoir les couverts avec précision → surproduction</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Élevé</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Traçabilité DLC</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Risque sanitaire et perte financière liés aux produits périmés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Élevé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Rentabilité par plat</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Coût-matière réel rarement calculé, marges inconnues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Élevé</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Communication cuisine-salle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Ruptures de plats non communiquées en temps réel</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Moyen</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3. Cibles &amp; Marchés</w:t>
      </w:r>
    </w:p>
    <w:p>
      <w:pPr>
        <w:pStyle w:val="Heading2"/>
        <w:spacing w:before="320" w:after="160"/>
      </w:pPr>
      <w:r>
        <w:rPr>
          <w:rFonts w:ascii="Arial" w:cs="Arial" w:eastAsia="Arial" w:hAnsi="Arial"/>
          <w:b/>
          <w:bCs/>
          <w:color w:val="1A56DB"/>
          <w:sz w:val="28"/>
          <w:szCs w:val="28"/>
        </w:rPr>
        <w:t xml:space="preserve">3.1 Personas Principaux</w:t>
      </w:r>
    </w:p>
    <w:p>
      <w:pPr>
        <w:spacing w:before="240" w:after="120"/>
      </w:pPr>
      <w:r>
        <w:rPr>
          <w:rFonts w:ascii="Arial" w:cs="Arial" w:eastAsia="Arial" w:hAnsi="Arial"/>
          <w:b/>
          <w:bCs/>
          <w:color w:val="1E293B"/>
          <w:sz w:val="24"/>
          <w:szCs w:val="24"/>
        </w:rPr>
        <w:t xml:space="preserve">👨‍🍳 Le Chef de Cuisine</w:t>
      </w:r>
    </w:p>
    <w:p>
      <w:pPr>
        <w:pStyle w:val="ListParagraph"/>
        <w:numPr>
          <w:ilvl w:val="0"/>
          <w:numId w:val="2"/>
        </w:numPr>
        <w:spacing w:before="60" w:after="60"/>
      </w:pPr>
      <w:r>
        <w:rPr>
          <w:rFonts w:ascii="Arial" w:cs="Arial" w:eastAsia="Arial" w:hAnsi="Arial"/>
          <w:color w:val="1E293B"/>
          <w:sz w:val="22"/>
          <w:szCs w:val="22"/>
        </w:rPr>
        <w:t xml:space="preserve">Restaurants 30 à 200 couverts, gastronomie à bistronomie</w:t>
      </w:r>
    </w:p>
    <w:p>
      <w:pPr>
        <w:pStyle w:val="ListParagraph"/>
        <w:numPr>
          <w:ilvl w:val="0"/>
          <w:numId w:val="2"/>
        </w:numPr>
        <w:spacing w:before="60" w:after="60"/>
      </w:pPr>
      <w:r>
        <w:rPr>
          <w:rFonts w:ascii="Arial" w:cs="Arial" w:eastAsia="Arial" w:hAnsi="Arial"/>
          <w:color w:val="1E293B"/>
          <w:sz w:val="22"/>
          <w:szCs w:val="22"/>
        </w:rPr>
        <w:t xml:space="preserve">Pain : passe 2h/jour en gestion administrative et commandes</w:t>
      </w:r>
    </w:p>
    <w:p>
      <w:pPr>
        <w:pStyle w:val="ListParagraph"/>
        <w:numPr>
          <w:ilvl w:val="0"/>
          <w:numId w:val="2"/>
        </w:numPr>
        <w:spacing w:before="60" w:after="60"/>
      </w:pPr>
      <w:r>
        <w:rPr>
          <w:rFonts w:ascii="Arial" w:cs="Arial" w:eastAsia="Arial" w:hAnsi="Arial"/>
          <w:color w:val="1E293B"/>
          <w:sz w:val="22"/>
          <w:szCs w:val="22"/>
        </w:rPr>
        <w:t xml:space="preserve">Gain attendu : décisions basées sur la data, plus de temps en cuisine</w:t>
      </w:r>
    </w:p>
    <w:p>
      <w:pPr>
        <w:spacing w:before="100"/>
      </w:pPr>
    </w:p>
    <w:p>
      <w:pPr>
        <w:spacing w:before="240" w:after="120"/>
      </w:pPr>
      <w:r>
        <w:rPr>
          <w:rFonts w:ascii="Arial" w:cs="Arial" w:eastAsia="Arial" w:hAnsi="Arial"/>
          <w:b/>
          <w:bCs/>
          <w:color w:val="1E293B"/>
          <w:sz w:val="24"/>
          <w:szCs w:val="24"/>
        </w:rPr>
        <w:t xml:space="preserve">📊 Le Directeur / Gérant</w:t>
      </w:r>
    </w:p>
    <w:p>
      <w:pPr>
        <w:pStyle w:val="ListParagraph"/>
        <w:numPr>
          <w:ilvl w:val="0"/>
          <w:numId w:val="2"/>
        </w:numPr>
        <w:spacing w:before="60" w:after="60"/>
      </w:pPr>
      <w:r>
        <w:rPr>
          <w:rFonts w:ascii="Arial" w:cs="Arial" w:eastAsia="Arial" w:hAnsi="Arial"/>
          <w:color w:val="1E293B"/>
          <w:sz w:val="22"/>
          <w:szCs w:val="22"/>
        </w:rPr>
        <w:t xml:space="preserve">Vision financière, cherche à améliorer les marges</w:t>
      </w:r>
    </w:p>
    <w:p>
      <w:pPr>
        <w:pStyle w:val="ListParagraph"/>
        <w:numPr>
          <w:ilvl w:val="0"/>
          <w:numId w:val="2"/>
        </w:numPr>
        <w:spacing w:before="60" w:after="60"/>
      </w:pPr>
      <w:r>
        <w:rPr>
          <w:rFonts w:ascii="Arial" w:cs="Arial" w:eastAsia="Arial" w:hAnsi="Arial"/>
          <w:color w:val="1E293B"/>
          <w:sz w:val="22"/>
          <w:szCs w:val="22"/>
        </w:rPr>
        <w:t xml:space="preserve">Pain : ne sait pas quel plat est vraiment rentable</w:t>
      </w:r>
    </w:p>
    <w:p>
      <w:pPr>
        <w:pStyle w:val="ListParagraph"/>
        <w:numPr>
          <w:ilvl w:val="0"/>
          <w:numId w:val="2"/>
        </w:numPr>
        <w:spacing w:before="60" w:after="60"/>
      </w:pPr>
      <w:r>
        <w:rPr>
          <w:rFonts w:ascii="Arial" w:cs="Arial" w:eastAsia="Arial" w:hAnsi="Arial"/>
          <w:color w:val="1E293B"/>
          <w:sz w:val="22"/>
          <w:szCs w:val="22"/>
        </w:rPr>
        <w:t xml:space="preserve">Gain attendu : tableau de bord rentabilité temps réel</w:t>
      </w:r>
    </w:p>
    <w:p>
      <w:pPr>
        <w:spacing w:before="100"/>
      </w:pPr>
    </w:p>
    <w:p>
      <w:pPr>
        <w:spacing w:before="240" w:after="120"/>
      </w:pPr>
      <w:r>
        <w:rPr>
          <w:rFonts w:ascii="Arial" w:cs="Arial" w:eastAsia="Arial" w:hAnsi="Arial"/>
          <w:b/>
          <w:bCs/>
          <w:color w:val="1E293B"/>
          <w:sz w:val="24"/>
          <w:szCs w:val="24"/>
        </w:rPr>
        <w:t xml:space="preserve">🏢 Le Groupe de Restauration</w:t>
      </w:r>
    </w:p>
    <w:p>
      <w:pPr>
        <w:pStyle w:val="ListParagraph"/>
        <w:numPr>
          <w:ilvl w:val="0"/>
          <w:numId w:val="2"/>
        </w:numPr>
        <w:spacing w:before="60" w:after="60"/>
      </w:pPr>
      <w:r>
        <w:rPr>
          <w:rFonts w:ascii="Arial" w:cs="Arial" w:eastAsia="Arial" w:hAnsi="Arial"/>
          <w:color w:val="1E293B"/>
          <w:sz w:val="22"/>
          <w:szCs w:val="22"/>
        </w:rPr>
        <w:t xml:space="preserve">Chaînes de 5 à 50 établissements</w:t>
      </w:r>
    </w:p>
    <w:p>
      <w:pPr>
        <w:pStyle w:val="ListParagraph"/>
        <w:numPr>
          <w:ilvl w:val="0"/>
          <w:numId w:val="2"/>
        </w:numPr>
        <w:spacing w:before="60" w:after="60"/>
      </w:pPr>
      <w:r>
        <w:rPr>
          <w:rFonts w:ascii="Arial" w:cs="Arial" w:eastAsia="Arial" w:hAnsi="Arial"/>
          <w:color w:val="1E293B"/>
          <w:sz w:val="22"/>
          <w:szCs w:val="22"/>
        </w:rPr>
        <w:t xml:space="preserve">Pain : consolidation des données multi-sites impossible</w:t>
      </w:r>
    </w:p>
    <w:p>
      <w:pPr>
        <w:pStyle w:val="ListParagraph"/>
        <w:numPr>
          <w:ilvl w:val="0"/>
          <w:numId w:val="2"/>
        </w:numPr>
        <w:spacing w:before="60" w:after="60"/>
      </w:pPr>
      <w:r>
        <w:rPr>
          <w:rFonts w:ascii="Arial" w:cs="Arial" w:eastAsia="Arial" w:hAnsi="Arial"/>
          <w:color w:val="1E293B"/>
          <w:sz w:val="22"/>
          <w:szCs w:val="22"/>
        </w:rPr>
        <w:t xml:space="preserve">Gain attendu : pilotage centralisé et benchmarking entre sites</w:t>
      </w:r>
    </w:p>
    <w:p>
      <w:pPr>
        <w:spacing w:before="160"/>
      </w:pPr>
    </w:p>
    <w:p>
      <w:pPr>
        <w:pStyle w:val="Heading2"/>
        <w:spacing w:before="320" w:after="160"/>
      </w:pPr>
      <w:r>
        <w:rPr>
          <w:rFonts w:ascii="Arial" w:cs="Arial" w:eastAsia="Arial" w:hAnsi="Arial"/>
          <w:b/>
          <w:bCs/>
          <w:color w:val="1A56DB"/>
          <w:sz w:val="28"/>
          <w:szCs w:val="28"/>
        </w:rPr>
        <w:t xml:space="preserve">3.2 Marché Adressable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2E8F0" w:sz="1"/>
              <w:left w:val="single" w:color="E2E8F0" w:sz="1"/>
              <w:bottom w:val="single" w:color="E2E8F0" w:sz="1"/>
              <w:right w:val="single" w:color="E2E8F0" w:sz="1"/>
            </w:tcBorders>
            <w:shd w:fill="EBF2FF" w:val="clear"/>
            <w:tcMar>
              <w:top w:type="dxa" w:w="120"/>
              <w:left w:type="dxa" w:w="180"/>
              <w:bottom w:type="dxa" w:w="120"/>
              <w:right w:type="dxa" w:w="180"/>
            </w:tcMar>
          </w:tcPr>
          <w:p>
            <w:pPr>
              <w:jc w:val="center"/>
            </w:pPr>
            <w:r>
              <w:rPr>
                <w:rFonts w:ascii="Arial" w:cs="Arial" w:eastAsia="Arial" w:hAnsi="Arial"/>
                <w:b/>
                <w:bCs/>
                <w:color w:val="1A56DB"/>
                <w:sz w:val="40"/>
                <w:szCs w:val="40"/>
              </w:rPr>
              <w:t xml:space="preserve">175 000</w:t>
            </w:r>
          </w:p>
          <w:p>
            <w:pPr>
              <w:jc w:val="center"/>
            </w:pPr>
            <w:r>
              <w:rPr>
                <w:rFonts w:ascii="Arial" w:cs="Arial" w:eastAsia="Arial" w:hAnsi="Arial"/>
                <w:b/>
                <w:bCs/>
                <w:color w:val="1E293B"/>
                <w:sz w:val="20"/>
                <w:szCs w:val="20"/>
              </w:rPr>
              <w:t xml:space="preserve">Restaurants en France</w:t>
            </w:r>
          </w:p>
          <w:p>
            <w:pPr>
              <w:jc w:val="center"/>
            </w:pPr>
            <w:r>
              <w:rPr>
                <w:rFonts w:ascii="Arial" w:cs="Arial" w:eastAsia="Arial" w:hAnsi="Arial"/>
                <w:i/>
                <w:iCs/>
                <w:color w:val="64748B"/>
                <w:sz w:val="18"/>
                <w:szCs w:val="18"/>
              </w:rPr>
              <w:t xml:space="preserve">marché cible initial</w:t>
            </w:r>
          </w:p>
        </w:tc>
        <w:tc>
          <w:tcPr>
            <w:tcW w:type="dxa" w:w="3120"/>
            <w:tcBorders>
              <w:top w:val="single" w:color="E2E8F0" w:sz="1"/>
              <w:left w:val="single" w:color="E2E8F0" w:sz="1"/>
              <w:bottom w:val="single" w:color="E2E8F0" w:sz="1"/>
              <w:right w:val="single" w:color="E2E8F0" w:sz="1"/>
            </w:tcBorders>
            <w:shd w:fill="EBF2FF" w:val="clear"/>
            <w:tcMar>
              <w:top w:type="dxa" w:w="120"/>
              <w:left w:type="dxa" w:w="180"/>
              <w:bottom w:type="dxa" w:w="120"/>
              <w:right w:type="dxa" w:w="180"/>
            </w:tcMar>
          </w:tcPr>
          <w:p>
            <w:pPr>
              <w:jc w:val="center"/>
            </w:pPr>
            <w:r>
              <w:rPr>
                <w:rFonts w:ascii="Arial" w:cs="Arial" w:eastAsia="Arial" w:hAnsi="Arial"/>
                <w:b/>
                <w:bCs/>
                <w:color w:val="1A56DB"/>
                <w:sz w:val="40"/>
                <w:szCs w:val="40"/>
              </w:rPr>
              <w:t xml:space="preserve">€4.2Md</w:t>
            </w:r>
          </w:p>
          <w:p>
            <w:pPr>
              <w:jc w:val="center"/>
            </w:pPr>
            <w:r>
              <w:rPr>
                <w:rFonts w:ascii="Arial" w:cs="Arial" w:eastAsia="Arial" w:hAnsi="Arial"/>
                <w:b/>
                <w:bCs/>
                <w:color w:val="1E293B"/>
                <w:sz w:val="20"/>
                <w:szCs w:val="20"/>
              </w:rPr>
              <w:t xml:space="preserve">TAM Europe</w:t>
            </w:r>
          </w:p>
          <w:p>
            <w:pPr>
              <w:jc w:val="center"/>
            </w:pPr>
            <w:r>
              <w:rPr>
                <w:rFonts w:ascii="Arial" w:cs="Arial" w:eastAsia="Arial" w:hAnsi="Arial"/>
                <w:i/>
                <w:iCs/>
                <w:color w:val="64748B"/>
                <w:sz w:val="18"/>
                <w:szCs w:val="18"/>
              </w:rPr>
              <w:t xml:space="preserve">restauration professionnelle SaaS</w:t>
            </w:r>
          </w:p>
        </w:tc>
        <w:tc>
          <w:tcPr>
            <w:tcW w:type="dxa" w:w="3120"/>
            <w:tcBorders>
              <w:top w:val="single" w:color="E2E8F0" w:sz="1"/>
              <w:left w:val="single" w:color="E2E8F0" w:sz="1"/>
              <w:bottom w:val="single" w:color="E2E8F0" w:sz="1"/>
              <w:right w:val="single" w:color="E2E8F0" w:sz="1"/>
            </w:tcBorders>
            <w:shd w:fill="EBF2FF" w:val="clear"/>
            <w:tcMar>
              <w:top w:type="dxa" w:w="120"/>
              <w:left w:type="dxa" w:w="180"/>
              <w:bottom w:type="dxa" w:w="120"/>
              <w:right w:type="dxa" w:w="180"/>
            </w:tcMar>
          </w:tcPr>
          <w:p>
            <w:pPr>
              <w:jc w:val="center"/>
            </w:pPr>
            <w:r>
              <w:rPr>
                <w:rFonts w:ascii="Arial" w:cs="Arial" w:eastAsia="Arial" w:hAnsi="Arial"/>
                <w:b/>
                <w:bCs/>
                <w:color w:val="1A56DB"/>
                <w:sz w:val="40"/>
                <w:szCs w:val="40"/>
              </w:rPr>
              <w:t xml:space="preserve">€180M</w:t>
            </w:r>
          </w:p>
          <w:p>
            <w:pPr>
              <w:jc w:val="center"/>
            </w:pPr>
            <w:r>
              <w:rPr>
                <w:rFonts w:ascii="Arial" w:cs="Arial" w:eastAsia="Arial" w:hAnsi="Arial"/>
                <w:b/>
                <w:bCs/>
                <w:color w:val="1E293B"/>
                <w:sz w:val="20"/>
                <w:szCs w:val="20"/>
              </w:rPr>
              <w:t xml:space="preserve">SAM réaliste (3 ans)</w:t>
            </w:r>
          </w:p>
          <w:p>
            <w:pPr>
              <w:jc w:val="center"/>
            </w:pPr>
            <w:r>
              <w:rPr>
                <w:rFonts w:ascii="Arial" w:cs="Arial" w:eastAsia="Arial" w:hAnsi="Arial"/>
                <w:i/>
                <w:iCs/>
                <w:color w:val="64748B"/>
                <w:sz w:val="18"/>
                <w:szCs w:val="18"/>
              </w:rPr>
              <w:t xml:space="preserve">segments bistronomie + groupes</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4. Fonctionnalités Produit</w:t>
      </w:r>
    </w:p>
    <w:p>
      <w:pPr>
        <w:spacing w:before="80" w:after="80"/>
      </w:pPr>
      <w:r>
        <w:rPr>
          <w:rFonts w:ascii="Arial" w:cs="Arial" w:eastAsia="Arial" w:hAnsi="Arial"/>
          <w:b w:val="false"/>
          <w:bCs w:val="false"/>
          <w:i w:val="false"/>
          <w:iCs w:val="false"/>
          <w:color w:val="1E293B"/>
          <w:sz w:val="22"/>
          <w:szCs w:val="22"/>
        </w:rPr>
        <w:t xml:space="preserve">Périmètre validé — 15 fonctionnalités retenues sur 5 modules.</w:t>
      </w:r>
    </w:p>
    <w:p>
      <w:pPr>
        <w:spacing w:before="80"/>
      </w:pPr>
    </w:p>
    <w:p>
      <w:pPr>
        <w:pStyle w:val="Heading2"/>
        <w:spacing w:before="320" w:after="160"/>
      </w:pPr>
      <w:r>
        <w:rPr>
          <w:rFonts w:ascii="Arial" w:cs="Arial" w:eastAsia="Arial" w:hAnsi="Arial"/>
          <w:b/>
          <w:bCs/>
          <w:color w:val="1A56DB"/>
          <w:sz w:val="28"/>
          <w:szCs w:val="28"/>
        </w:rPr>
        <w:t xml:space="preserve">4.1 Gestion des Stocks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Inventaire temps réel</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Suivi des entrées/sorties avec saisie rapide ou scan code-barres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Alertes DLC proactives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Notifications 48h et 24h avant péremption de chaque produit</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Seuils de réapprovisionnement</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Alertes automatiques quand un produit passe sous le seuil critique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Traçabilité par lot</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Traçabilité complète par lot, fournisseur et date de réception</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A580C"/>
                <w:sz w:val="18"/>
                <w:szCs w:val="18"/>
              </w:rPr>
              <w:t xml:space="preserve">P1</w:t>
            </w:r>
          </w:p>
        </w:tc>
      </w:tr>
    </w:tbl>
    <w:p>
      <w:pPr>
        <w:spacing w:before="160"/>
      </w:pPr>
    </w:p>
    <w:p>
      <w:pPr>
        <w:pStyle w:val="Heading2"/>
        <w:spacing w:before="320" w:after="160"/>
      </w:pPr>
      <w:r>
        <w:rPr>
          <w:rFonts w:ascii="Arial" w:cs="Arial" w:eastAsia="Arial" w:hAnsi="Arial"/>
          <w:b/>
          <w:bCs/>
          <w:color w:val="1A56DB"/>
          <w:sz w:val="28"/>
          <w:szCs w:val="28"/>
        </w:rPr>
        <w:t xml:space="preserve">4.2 Rentabilité &amp; Finance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Food cost par plat</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Calcul automatique du coût-matière réel à partir des stocks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Dashboard marges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Classement des plats les plus/moins rentables en temps réel</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Rapport hebdomadaire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Synthèse automatique envoyée chaque lundi au gérant par email</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A580C"/>
                <w:sz w:val="18"/>
                <w:szCs w:val="18"/>
              </w:rPr>
              <w:t xml:space="preserve">P1</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Simulation de prix</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Impact immédiat si le prix d'un ingrédient évolue (+10% bœuf, etc.)</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A580C"/>
                <w:sz w:val="18"/>
                <w:szCs w:val="18"/>
              </w:rPr>
              <w:t xml:space="preserve">P1</w:t>
            </w:r>
          </w:p>
        </w:tc>
      </w:tr>
    </w:tbl>
    <w:p>
      <w:pPr>
        <w:spacing w:before="160"/>
      </w:pPr>
    </w:p>
    <w:p>
      <w:pPr>
        <w:pStyle w:val="Heading2"/>
        <w:spacing w:before="320" w:after="160"/>
      </w:pPr>
      <w:r>
        <w:rPr>
          <w:rFonts w:ascii="Arial" w:cs="Arial" w:eastAsia="Arial" w:hAnsi="Arial"/>
          <w:b/>
          <w:bCs/>
          <w:color w:val="1A56DB"/>
          <w:sz w:val="28"/>
          <w:szCs w:val="28"/>
        </w:rPr>
        <w:t xml:space="preserve">4.3 Commandes Fournisseurs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Module commandes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Création et envoi des bons de commande directement depuis l'app</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Import/export Excel</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 des catalogues fournisseurs et export des commandes en .xlsx</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A580C"/>
                <w:sz w:val="18"/>
                <w:szCs w:val="18"/>
              </w:rPr>
              <w:t xml:space="preserve">P1</w:t>
            </w:r>
          </w:p>
        </w:tc>
      </w:tr>
    </w:tbl>
    <w:p>
      <w:pPr>
        <w:spacing w:before="160"/>
      </w:pPr>
    </w:p>
    <w:p>
      <w:pPr>
        <w:pStyle w:val="Heading2"/>
        <w:spacing w:before="320" w:after="160"/>
      </w:pPr>
      <w:r>
        <w:rPr>
          <w:rFonts w:ascii="Arial" w:cs="Arial" w:eastAsia="Arial" w:hAnsi="Arial"/>
          <w:b/>
          <w:bCs/>
          <w:color w:val="1A56DB"/>
          <w:sz w:val="28"/>
          <w:szCs w:val="28"/>
        </w:rPr>
        <w:t xml:space="preserve">4.4 Utilisateurs &amp; Accès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Profils par rôle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Accès différenciés : chef (stocks), gérant (finance), serveur (lecture)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Multi-établissements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Gestion de plusieurs sites depuis un seul compte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A580C"/>
                <w:sz w:val="18"/>
                <w:szCs w:val="18"/>
              </w:rPr>
              <w:t xml:space="preserve">P1</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Historique des actions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Journal complet des modifications par utilisateur et par date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A580C"/>
                <w:sz w:val="18"/>
                <w:szCs w:val="18"/>
              </w:rPr>
              <w:t xml:space="preserve">P1</w:t>
            </w:r>
          </w:p>
        </w:tc>
      </w:tr>
    </w:tbl>
    <w:p>
      <w:pPr>
        <w:spacing w:before="160"/>
      </w:pPr>
    </w:p>
    <w:p>
      <w:pPr>
        <w:pStyle w:val="Heading2"/>
        <w:spacing w:before="320" w:after="160"/>
      </w:pPr>
      <w:r>
        <w:rPr>
          <w:rFonts w:ascii="Arial" w:cs="Arial" w:eastAsia="Arial" w:hAnsi="Arial"/>
          <w:b/>
          <w:bCs/>
          <w:color w:val="1A56DB"/>
          <w:sz w:val="28"/>
          <w:szCs w:val="28"/>
        </w:rPr>
        <w:t xml:space="preserve">4.5 Interface &amp; Reporting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PWA installable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Application accessible depuis navigateur, installable sur tablette/mobile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DC2626"/>
                <w:sz w:val="18"/>
                <w:szCs w:val="18"/>
              </w:rPr>
              <w:t xml:space="preserve">P0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Export PDF</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Génération de rapports PDF (stocks, marges, commandes) en un clic</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EA580C"/>
                <w:sz w:val="18"/>
                <w:szCs w:val="18"/>
              </w:rPr>
              <w:t xml:space="preserve">P1</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Rapports personnalisables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Choix des métriques, périodes et formats affichés dans les rapports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EA580C"/>
                <w:sz w:val="18"/>
                <w:szCs w:val="18"/>
              </w:rPr>
              <w:t xml:space="preserve">P1</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5. Architecture Technique</w:t>
      </w:r>
    </w:p>
    <w:p>
      <w:pPr>
        <w:pStyle w:val="Heading2"/>
        <w:spacing w:before="320" w:after="160"/>
      </w:pPr>
      <w:r>
        <w:rPr>
          <w:rFonts w:ascii="Arial" w:cs="Arial" w:eastAsia="Arial" w:hAnsi="Arial"/>
          <w:b/>
          <w:bCs/>
          <w:color w:val="1A56DB"/>
          <w:sz w:val="28"/>
          <w:szCs w:val="28"/>
        </w:rPr>
        <w:t xml:space="preserve">5.1 Stack Technologique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Couche</w:t>
            </w:r>
          </w:p>
        </w:tc>
        <w:tc>
          <w:tcPr>
            <w:tcW w:type="dxa" w:w="6560"/>
            <w:tcBorders>
              <w:top w:val="single" w:color="E2E8F0" w:sz="1"/>
              <w:left w:val="single" w:color="E2E8F0" w:sz="1"/>
              <w:bottom w:val="single" w:color="E2E8F0" w:sz="1"/>
              <w:right w:val="single" w:color="E2E8F0" w:sz="1"/>
            </w:tcBorders>
            <w:shd w:fill="1E293B" w:val="clear"/>
            <w:tcMar>
              <w:top w:type="dxa" w:w="80"/>
              <w:left w:type="dxa" w:w="120"/>
              <w:bottom w:type="dxa" w:w="80"/>
              <w:right w:type="dxa" w:w="120"/>
            </w:tcMar>
          </w:tcPr>
          <w:p>
            <w:r>
              <w:rPr>
                <w:rFonts w:ascii="Arial" w:cs="Arial" w:eastAsia="Arial" w:hAnsi="Arial"/>
                <w:b/>
                <w:bCs/>
                <w:color w:val="FFFFFF"/>
                <w:sz w:val="20"/>
                <w:szCs w:val="20"/>
              </w:rPr>
              <w:t xml:space="preserve">Technologie</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Frontend</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React + TypeScript + Tailwind CSS — PWA installable</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Backend</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Node.js / NestJS — API REST + WebSockets pour le temps réel</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Base de données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PostgreSQL (transactionnel) + TimescaleDB (séries temporelles)</w:t>
            </w:r>
          </w:p>
        </w:tc>
      </w:tr>
      <w:tr>
        <w:tc>
          <w:tcPr>
            <w:tcW w:type="dxa" w:w="28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E293B"/>
                <w:sz w:val="20"/>
                <w:szCs w:val="20"/>
              </w:rPr>
              <w:t xml:space="preserve">Infrastructure</w:t>
            </w:r>
          </w:p>
        </w:tc>
        <w:tc>
          <w:tcPr>
            <w:tcW w:type="dxa" w:w="65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AWS (ECS, RDS, S3) — multi-tenant avec isolation par schéma</w:t>
            </w:r>
          </w:p>
        </w:tc>
      </w:tr>
      <w:tr>
        <w:tc>
          <w:tcPr>
            <w:tcW w:type="dxa" w:w="28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E293B"/>
                <w:sz w:val="20"/>
                <w:szCs w:val="20"/>
              </w:rPr>
              <w:t xml:space="preserve">Intégrations</w:t>
            </w:r>
          </w:p>
        </w:tc>
        <w:tc>
          <w:tcPr>
            <w:tcW w:type="dxa" w:w="65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Import/export Excel (.xlsx) — extensible via API REST</w:t>
            </w:r>
          </w:p>
        </w:tc>
      </w:tr>
    </w:tbl>
    <w:p>
      <w:pPr>
        <w:spacing w:before="160"/>
      </w:pPr>
    </w:p>
    <w:p>
      <w:pPr>
        <w:pStyle w:val="Heading2"/>
        <w:spacing w:before="320" w:after="160"/>
      </w:pPr>
      <w:r>
        <w:rPr>
          <w:rFonts w:ascii="Arial" w:cs="Arial" w:eastAsia="Arial" w:hAnsi="Arial"/>
          <w:b/>
          <w:bCs/>
          <w:color w:val="1A56DB"/>
          <w:sz w:val="28"/>
          <w:szCs w:val="28"/>
        </w:rPr>
        <w:t xml:space="preserve">5.2 Sécurité &amp; Conformité</w:t>
      </w:r>
    </w:p>
    <w:p>
      <w:pPr>
        <w:pStyle w:val="ListParagraph"/>
        <w:numPr>
          <w:ilvl w:val="0"/>
          <w:numId w:val="2"/>
        </w:numPr>
        <w:spacing w:before="60" w:after="60"/>
      </w:pPr>
      <w:r>
        <w:rPr>
          <w:rFonts w:ascii="Arial" w:cs="Arial" w:eastAsia="Arial" w:hAnsi="Arial"/>
          <w:color w:val="1E293B"/>
          <w:sz w:val="22"/>
          <w:szCs w:val="22"/>
        </w:rPr>
        <w:t xml:space="preserve">RGPD : données hébergées en Europe (AWS eu-west-3), DPA disponible</w:t>
      </w:r>
    </w:p>
    <w:p>
      <w:pPr>
        <w:pStyle w:val="ListParagraph"/>
        <w:numPr>
          <w:ilvl w:val="0"/>
          <w:numId w:val="2"/>
        </w:numPr>
        <w:spacing w:before="60" w:after="60"/>
      </w:pPr>
      <w:r>
        <w:rPr>
          <w:rFonts w:ascii="Arial" w:cs="Arial" w:eastAsia="Arial" w:hAnsi="Arial"/>
          <w:color w:val="1E293B"/>
          <w:sz w:val="22"/>
          <w:szCs w:val="22"/>
        </w:rPr>
        <w:t xml:space="preserve">Chiffrement AES-256 au repos, TLS 1.3 en transit</w:t>
      </w:r>
    </w:p>
    <w:p>
      <w:pPr>
        <w:pStyle w:val="ListParagraph"/>
        <w:numPr>
          <w:ilvl w:val="0"/>
          <w:numId w:val="2"/>
        </w:numPr>
        <w:spacing w:before="60" w:after="60"/>
      </w:pPr>
      <w:r>
        <w:rPr>
          <w:rFonts w:ascii="Arial" w:cs="Arial" w:eastAsia="Arial" w:hAnsi="Arial"/>
          <w:color w:val="1E293B"/>
          <w:sz w:val="22"/>
          <w:szCs w:val="22"/>
        </w:rPr>
        <w:t xml:space="preserve">SSO SAML 2.0 pour les groupes (Azure AD, Google Workspace)</w:t>
      </w:r>
    </w:p>
    <w:p>
      <w:pPr>
        <w:pStyle w:val="ListParagraph"/>
        <w:numPr>
          <w:ilvl w:val="0"/>
          <w:numId w:val="2"/>
        </w:numPr>
        <w:spacing w:before="60" w:after="60"/>
      </w:pPr>
      <w:r>
        <w:rPr>
          <w:rFonts w:ascii="Arial" w:cs="Arial" w:eastAsia="Arial" w:hAnsi="Arial"/>
          <w:color w:val="1E293B"/>
          <w:sz w:val="22"/>
          <w:szCs w:val="22"/>
        </w:rPr>
        <w:t xml:space="preserve">Audit log complet de toutes les actions utilisateurs</w:t>
      </w:r>
    </w:p>
    <w:p>
      <w:pPr>
        <w:pStyle w:val="ListParagraph"/>
        <w:numPr>
          <w:ilvl w:val="0"/>
          <w:numId w:val="2"/>
        </w:numPr>
        <w:spacing w:before="60" w:after="60"/>
      </w:pPr>
      <w:r>
        <w:rPr>
          <w:rFonts w:ascii="Arial" w:cs="Arial" w:eastAsia="Arial" w:hAnsi="Arial"/>
          <w:color w:val="1E293B"/>
          <w:sz w:val="22"/>
          <w:szCs w:val="22"/>
        </w:rPr>
        <w:t xml:space="preserve">SLA 99.9% uptime garanti, backups quotidiens avec rétention 30 jours</w:t>
      </w:r>
    </w:p>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6. Modèle Économique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F8FAFC" w:val="clear"/>
            <w:tcMar>
              <w:top w:type="dxa" w:w="180"/>
              <w:left w:type="dxa" w:w="200"/>
              <w:bottom w:type="dxa" w:w="180"/>
              <w:right w:type="dxa" w:w="200"/>
            </w:tcMar>
          </w:tcPr>
          <w:p>
            <w:pPr>
              <w:spacing w:before="0" w:after="80"/>
              <w:jc w:val="center"/>
            </w:pPr>
            <w:r>
              <w:rPr>
                <w:rFonts w:ascii="Arial" w:cs="Arial" w:eastAsia="Arial" w:hAnsi="Arial"/>
                <w:b/>
                <w:bCs/>
                <w:color w:val="1E293B"/>
                <w:sz w:val="24"/>
                <w:szCs w:val="24"/>
              </w:rPr>
              <w:t xml:space="preserve">Starter</w:t>
            </w:r>
          </w:p>
          <w:p>
            <w:pPr>
              <w:spacing w:before="0" w:after="160"/>
              <w:jc w:val="center"/>
            </w:pPr>
            <w:r>
              <w:rPr>
                <w:rFonts w:ascii="Arial" w:cs="Arial" w:eastAsia="Arial" w:hAnsi="Arial"/>
                <w:b/>
                <w:bCs/>
                <w:color w:val="64748B"/>
                <w:sz w:val="32"/>
                <w:szCs w:val="32"/>
              </w:rPr>
              <w:t xml:space="preserve">€79/mois</w:t>
            </w:r>
          </w:p>
          <w:p>
            <w:pPr>
              <w:spacing w:before="60" w:after="60"/>
            </w:pPr>
            <w:r>
              <w:rPr>
                <w:rFonts w:ascii="Arial" w:cs="Arial" w:eastAsia="Arial" w:hAnsi="Arial"/>
                <w:color w:val="1E293B"/>
                <w:sz w:val="19"/>
                <w:szCs w:val="19"/>
              </w:rPr>
              <w:t xml:space="preserve">✓  1 établissement</w:t>
            </w:r>
          </w:p>
          <w:p>
            <w:pPr>
              <w:spacing w:before="60" w:after="60"/>
            </w:pPr>
            <w:r>
              <w:rPr>
                <w:rFonts w:ascii="Arial" w:cs="Arial" w:eastAsia="Arial" w:hAnsi="Arial"/>
                <w:color w:val="1E293B"/>
                <w:sz w:val="19"/>
                <w:szCs w:val="19"/>
              </w:rPr>
              <w:t xml:space="preserve">✓  Stocks + DLC</w:t>
            </w:r>
          </w:p>
          <w:p>
            <w:pPr>
              <w:spacing w:before="60" w:after="60"/>
            </w:pPr>
            <w:r>
              <w:rPr>
                <w:rFonts w:ascii="Arial" w:cs="Arial" w:eastAsia="Arial" w:hAnsi="Arial"/>
                <w:color w:val="1E293B"/>
                <w:sz w:val="19"/>
                <w:szCs w:val="19"/>
              </w:rPr>
              <w:t xml:space="preserve">✓  Dashboard basique</w:t>
            </w:r>
          </w:p>
          <w:p>
            <w:pPr>
              <w:spacing w:before="60" w:after="60"/>
            </w:pPr>
            <w:r>
              <w:rPr>
                <w:rFonts w:ascii="Arial" w:cs="Arial" w:eastAsia="Arial" w:hAnsi="Arial"/>
                <w:color w:val="1E293B"/>
                <w:sz w:val="19"/>
                <w:szCs w:val="19"/>
              </w:rPr>
              <w:t xml:space="preserve">✓  Support email</w:t>
            </w:r>
          </w:p>
        </w:tc>
        <w:tc>
          <w:tcPr>
            <w:tcBorders>
              <w:top w:val="single" w:color="E2E8F0" w:sz="1"/>
              <w:left w:val="single" w:color="E2E8F0" w:sz="1"/>
              <w:bottom w:val="single" w:color="E2E8F0" w:sz="1"/>
              <w:right w:val="single" w:color="E2E8F0" w:sz="1"/>
            </w:tcBorders>
            <w:shd w:fill="EBF2FF" w:val="clear"/>
            <w:tcMar>
              <w:top w:type="dxa" w:w="180"/>
              <w:left w:type="dxa" w:w="200"/>
              <w:bottom w:type="dxa" w:w="180"/>
              <w:right w:type="dxa" w:w="200"/>
            </w:tcMar>
          </w:tcPr>
          <w:p>
            <w:pPr>
              <w:spacing w:before="0" w:after="80"/>
              <w:jc w:val="center"/>
            </w:pPr>
            <w:r>
              <w:rPr>
                <w:rFonts w:ascii="Arial" w:cs="Arial" w:eastAsia="Arial" w:hAnsi="Arial"/>
                <w:b/>
                <w:bCs/>
                <w:color w:val="1E293B"/>
                <w:sz w:val="24"/>
                <w:szCs w:val="24"/>
              </w:rPr>
              <w:t xml:space="preserve">Pro</w:t>
            </w:r>
          </w:p>
          <w:p>
            <w:pPr>
              <w:spacing w:before="0" w:after="160"/>
              <w:jc w:val="center"/>
            </w:pPr>
            <w:r>
              <w:rPr>
                <w:rFonts w:ascii="Arial" w:cs="Arial" w:eastAsia="Arial" w:hAnsi="Arial"/>
                <w:b/>
                <w:bCs/>
                <w:color w:val="1A56DB"/>
                <w:sz w:val="32"/>
                <w:szCs w:val="32"/>
              </w:rPr>
              <w:t xml:space="preserve">€179/mois</w:t>
            </w:r>
          </w:p>
          <w:p>
            <w:pPr>
              <w:spacing w:before="60" w:after="60"/>
            </w:pPr>
            <w:r>
              <w:rPr>
                <w:rFonts w:ascii="Arial" w:cs="Arial" w:eastAsia="Arial" w:hAnsi="Arial"/>
                <w:color w:val="1E293B"/>
                <w:sz w:val="19"/>
                <w:szCs w:val="19"/>
              </w:rPr>
              <w:t xml:space="preserve">✓  1 établissement</w:t>
            </w:r>
          </w:p>
          <w:p>
            <w:pPr>
              <w:spacing w:before="60" w:after="60"/>
            </w:pPr>
            <w:r>
              <w:rPr>
                <w:rFonts w:ascii="Arial" w:cs="Arial" w:eastAsia="Arial" w:hAnsi="Arial"/>
                <w:color w:val="1E293B"/>
                <w:sz w:val="19"/>
                <w:szCs w:val="19"/>
              </w:rPr>
              <w:t xml:space="preserve">✓  IA prédictive complète</w:t>
            </w:r>
          </w:p>
          <w:p>
            <w:pPr>
              <w:spacing w:before="60" w:after="60"/>
            </w:pPr>
            <w:r>
              <w:rPr>
                <w:rFonts w:ascii="Arial" w:cs="Arial" w:eastAsia="Arial" w:hAnsi="Arial"/>
                <w:color w:val="1E293B"/>
                <w:sz w:val="19"/>
                <w:szCs w:val="19"/>
              </w:rPr>
              <w:t xml:space="preserve">✓  Rentabilité par plat</w:t>
            </w:r>
          </w:p>
          <w:p>
            <w:pPr>
              <w:spacing w:before="60" w:after="60"/>
            </w:pPr>
            <w:r>
              <w:rPr>
                <w:rFonts w:ascii="Arial" w:cs="Arial" w:eastAsia="Arial" w:hAnsi="Arial"/>
                <w:color w:val="1E293B"/>
                <w:sz w:val="19"/>
                <w:szCs w:val="19"/>
              </w:rPr>
              <w:t xml:space="preserve">✓  Intégrations POS</w:t>
            </w:r>
          </w:p>
          <w:p>
            <w:pPr>
              <w:spacing w:before="60" w:after="60"/>
            </w:pPr>
            <w:r>
              <w:rPr>
                <w:rFonts w:ascii="Arial" w:cs="Arial" w:eastAsia="Arial" w:hAnsi="Arial"/>
                <w:color w:val="1E293B"/>
                <w:sz w:val="19"/>
                <w:szCs w:val="19"/>
              </w:rPr>
              <w:t xml:space="preserve">✓  Support prioritaire</w:t>
            </w:r>
          </w:p>
        </w:tc>
        <w:tc>
          <w:tcPr>
            <w:tcBorders>
              <w:top w:val="single" w:color="E2E8F0" w:sz="1"/>
              <w:left w:val="single" w:color="E2E8F0" w:sz="1"/>
              <w:bottom w:val="single" w:color="E2E8F0" w:sz="1"/>
              <w:right w:val="single" w:color="E2E8F0" w:sz="1"/>
            </w:tcBorders>
            <w:shd w:fill="1E293B" w:val="clear"/>
            <w:tcMar>
              <w:top w:type="dxa" w:w="180"/>
              <w:left w:type="dxa" w:w="200"/>
              <w:bottom w:type="dxa" w:w="180"/>
              <w:right w:type="dxa" w:w="200"/>
            </w:tcMar>
          </w:tcPr>
          <w:p>
            <w:pPr>
              <w:spacing w:before="0" w:after="80"/>
              <w:jc w:val="center"/>
            </w:pPr>
            <w:r>
              <w:rPr>
                <w:rFonts w:ascii="Arial" w:cs="Arial" w:eastAsia="Arial" w:hAnsi="Arial"/>
                <w:b/>
                <w:bCs/>
                <w:color w:val="FFFFFF"/>
                <w:sz w:val="24"/>
                <w:szCs w:val="24"/>
              </w:rPr>
              <w:t xml:space="preserve">Enterprise</w:t>
            </w:r>
          </w:p>
          <w:p>
            <w:pPr>
              <w:spacing w:before="0" w:after="160"/>
              <w:jc w:val="center"/>
            </w:pPr>
            <w:r>
              <w:rPr>
                <w:rFonts w:ascii="Arial" w:cs="Arial" w:eastAsia="Arial" w:hAnsi="Arial"/>
                <w:b/>
                <w:bCs/>
                <w:color w:val="FFFFFF"/>
                <w:sz w:val="32"/>
                <w:szCs w:val="32"/>
              </w:rPr>
              <w:t xml:space="preserve">Sur devis</w:t>
            </w:r>
          </w:p>
          <w:p>
            <w:pPr>
              <w:spacing w:before="60" w:after="60"/>
            </w:pPr>
            <w:r>
              <w:rPr>
                <w:rFonts w:ascii="Arial" w:cs="Arial" w:eastAsia="Arial" w:hAnsi="Arial"/>
                <w:color w:val="BDD7FF"/>
                <w:sz w:val="19"/>
                <w:szCs w:val="19"/>
              </w:rPr>
              <w:t xml:space="preserve">✓  Multi-établissements illimités</w:t>
            </w:r>
          </w:p>
          <w:p>
            <w:pPr>
              <w:spacing w:before="60" w:after="60"/>
            </w:pPr>
            <w:r>
              <w:rPr>
                <w:rFonts w:ascii="Arial" w:cs="Arial" w:eastAsia="Arial" w:hAnsi="Arial"/>
                <w:color w:val="BDD7FF"/>
                <w:sz w:val="19"/>
                <w:szCs w:val="19"/>
              </w:rPr>
              <w:t xml:space="preserve">✓  API privée</w:t>
            </w:r>
          </w:p>
          <w:p>
            <w:pPr>
              <w:spacing w:before="60" w:after="60"/>
            </w:pPr>
            <w:r>
              <w:rPr>
                <w:rFonts w:ascii="Arial" w:cs="Arial" w:eastAsia="Arial" w:hAnsi="Arial"/>
                <w:color w:val="BDD7FF"/>
                <w:sz w:val="19"/>
                <w:szCs w:val="19"/>
              </w:rPr>
              <w:t xml:space="preserve">✓  SSO + audit log</w:t>
            </w:r>
          </w:p>
          <w:p>
            <w:pPr>
              <w:spacing w:before="60" w:after="60"/>
            </w:pPr>
            <w:r>
              <w:rPr>
                <w:rFonts w:ascii="Arial" w:cs="Arial" w:eastAsia="Arial" w:hAnsi="Arial"/>
                <w:color w:val="BDD7FF"/>
                <w:sz w:val="19"/>
                <w:szCs w:val="19"/>
              </w:rPr>
              <w:t xml:space="preserve">✓  CSM dédié</w:t>
            </w:r>
          </w:p>
          <w:p>
            <w:pPr>
              <w:spacing w:before="60" w:after="60"/>
            </w:pPr>
            <w:r>
              <w:rPr>
                <w:rFonts w:ascii="Arial" w:cs="Arial" w:eastAsia="Arial" w:hAnsi="Arial"/>
                <w:color w:val="BDD7FF"/>
                <w:sz w:val="19"/>
                <w:szCs w:val="19"/>
              </w:rPr>
              <w:t xml:space="preserve">✓  SLA custom</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EBF2FF" w:val="clear"/>
            <w:tcMar>
              <w:top w:type="dxa" w:w="160"/>
              <w:left w:type="dxa" w:w="240"/>
              <w:bottom w:type="dxa" w:w="160"/>
              <w:right w:type="dxa" w:w="240"/>
            </w:tcMar>
          </w:tcPr>
          <w:p>
            <w:pPr>
              <w:spacing w:before="0" w:after="80"/>
            </w:pPr>
            <w:r>
              <w:rPr>
                <w:rFonts w:ascii="Arial" w:cs="Arial" w:eastAsia="Arial" w:hAnsi="Arial"/>
                <w:b/>
                <w:bCs/>
                <w:color w:val="1A56DB"/>
                <w:sz w:val="22"/>
                <w:szCs w:val="22"/>
              </w:rPr>
              <w:t xml:space="preserve">💡 Modèle d'acquisition</w:t>
            </w:r>
          </w:p>
          <w:p>
            <w:pPr>
              <w:spacing w:before="40" w:after="40"/>
            </w:pPr>
            <w:r>
              <w:rPr>
                <w:rFonts w:ascii="Arial" w:cs="Arial" w:eastAsia="Arial" w:hAnsi="Arial"/>
                <w:color w:val="1A56DB"/>
                <w:sz w:val="20"/>
                <w:szCs w:val="20"/>
              </w:rPr>
              <w:t xml:space="preserve">Essai gratuit 30 jours sans CB — Onboarding guidé en 15 minutes</w:t>
            </w:r>
          </w:p>
          <w:p>
            <w:pPr>
              <w:spacing w:before="40" w:after="40"/>
            </w:pPr>
            <w:r>
              <w:rPr>
                <w:rFonts w:ascii="Arial" w:cs="Arial" w:eastAsia="Arial" w:hAnsi="Arial"/>
                <w:color w:val="1A56DB"/>
                <w:sz w:val="20"/>
                <w:szCs w:val="20"/>
              </w:rPr>
              <w:t xml:space="preserve">Commission 0% sur le premier mois pour les apporteurs d'affaires (cabinets comptables, groupements)</w:t>
            </w:r>
          </w:p>
          <w:p>
            <w:pPr>
              <w:spacing w:before="40" w:after="40"/>
            </w:pPr>
            <w:r>
              <w:rPr>
                <w:rFonts w:ascii="Arial" w:cs="Arial" w:eastAsia="Arial" w:hAnsi="Arial"/>
                <w:color w:val="1A56DB"/>
                <w:sz w:val="20"/>
                <w:szCs w:val="20"/>
              </w:rPr>
              <w:t xml:space="preserve">Programme partenaires revendeurs avec remise 20% pour les intégrateurs</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7. Roadmap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E2E8F0" w:sz="1"/>
              <w:left w:val="single" w:color="E2E8F0" w:sz="1"/>
              <w:bottom w:val="single" w:color="E2E8F0" w:sz="1"/>
              <w:right w:val="single" w:color="E2E8F0" w:sz="1"/>
            </w:tcBorders>
            <w:shd w:fill="1A56DB"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Phase 1 — MVP</w:t>
            </w:r>
          </w:p>
          <w:p>
            <w:pPr>
              <w:jc w:val="center"/>
            </w:pPr>
            <w:r>
              <w:rPr>
                <w:rFonts w:ascii="Arial" w:cs="Arial" w:eastAsia="Arial" w:hAnsi="Arial"/>
                <w:i/>
                <w:iCs/>
                <w:color w:val="FFFFFF"/>
                <w:sz w:val="18"/>
                <w:szCs w:val="18"/>
              </w:rPr>
              <w:t xml:space="preserve">M1–M4</w:t>
            </w:r>
          </w:p>
        </w:tc>
        <w:tc>
          <w:tcPr>
            <w:tcBorders>
              <w:top w:val="single" w:color="E2E8F0" w:sz="1"/>
              <w:left w:val="single" w:color="E2E8F0" w:sz="1"/>
              <w:bottom w:val="single" w:color="E2E8F0" w:sz="1"/>
              <w:right w:val="single" w:color="E2E8F0" w:sz="1"/>
            </w:tcBorders>
            <w:shd w:fill="16A34A"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Phase 2 — IA avancée</w:t>
            </w:r>
          </w:p>
          <w:p>
            <w:pPr>
              <w:jc w:val="center"/>
            </w:pPr>
            <w:r>
              <w:rPr>
                <w:rFonts w:ascii="Arial" w:cs="Arial" w:eastAsia="Arial" w:hAnsi="Arial"/>
                <w:i/>
                <w:iCs/>
                <w:color w:val="FFFFFF"/>
                <w:sz w:val="18"/>
                <w:szCs w:val="18"/>
              </w:rPr>
              <w:t xml:space="preserve">M5–M8</w:t>
            </w:r>
          </w:p>
        </w:tc>
        <w:tc>
          <w:tcPr>
            <w:tcBorders>
              <w:top w:val="single" w:color="E2E8F0" w:sz="1"/>
              <w:left w:val="single" w:color="E2E8F0" w:sz="1"/>
              <w:bottom w:val="single" w:color="E2E8F0" w:sz="1"/>
              <w:right w:val="single" w:color="E2E8F0" w:sz="1"/>
            </w:tcBorders>
            <w:shd w:fill="EA580C" w:val="clear"/>
            <w:tcMar>
              <w:top w:type="dxa" w:w="100"/>
              <w:left w:type="dxa" w:w="160"/>
              <w:bottom w:type="dxa" w:w="100"/>
              <w:right w:type="dxa" w:w="160"/>
            </w:tcMar>
          </w:tcPr>
          <w:p>
            <w:pPr>
              <w:jc w:val="center"/>
            </w:pPr>
            <w:r>
              <w:rPr>
                <w:rFonts w:ascii="Arial" w:cs="Arial" w:eastAsia="Arial" w:hAnsi="Arial"/>
                <w:b/>
                <w:bCs/>
                <w:color w:val="FFFFFF"/>
                <w:sz w:val="20"/>
                <w:szCs w:val="20"/>
              </w:rPr>
              <w:t xml:space="preserve">Phase 3 — Scale</w:t>
            </w:r>
          </w:p>
          <w:p>
            <w:pPr>
              <w:jc w:val="center"/>
            </w:pPr>
            <w:r>
              <w:rPr>
                <w:rFonts w:ascii="Arial" w:cs="Arial" w:eastAsia="Arial" w:hAnsi="Arial"/>
                <w:i/>
                <w:iCs/>
                <w:color w:val="FFFFFF"/>
                <w:sz w:val="18"/>
                <w:szCs w:val="18"/>
              </w:rPr>
              <w:t xml:space="preserve">M9–M12</w:t>
            </w:r>
          </w:p>
        </w:tc>
      </w:tr>
      <w:tr>
        <w:tc>
          <w:tcPr>
            <w:tcBorders>
              <w:top w:val="single" w:color="E2E8F0" w:sz="1"/>
              <w:left w:val="single" w:color="E2E8F0" w:sz="1"/>
              <w:bottom w:val="single" w:color="E2E8F0" w:sz="1"/>
              <w:right w:val="single" w:color="E2E8F0" w:sz="1"/>
            </w:tcBorders>
            <w:shd w:fill="EBF2FF" w:val="clear"/>
            <w:tcMar>
              <w:top w:type="dxa" w:w="120"/>
              <w:left w:type="dxa" w:w="160"/>
              <w:bottom w:type="dxa" w:w="120"/>
              <w:right w:type="dxa" w:w="160"/>
            </w:tcMar>
          </w:tcPr>
          <w:p>
            <w:pPr>
              <w:spacing w:before="60" w:after="60"/>
            </w:pPr>
            <w:r>
              <w:rPr>
                <w:rFonts w:ascii="Arial" w:cs="Arial" w:eastAsia="Arial" w:hAnsi="Arial"/>
                <w:color w:val="1E293B"/>
                <w:sz w:val="19"/>
                <w:szCs w:val="19"/>
              </w:rPr>
              <w:t xml:space="preserve">→ Gestion des stocks temps réel</w:t>
            </w:r>
          </w:p>
          <w:p>
            <w:pPr>
              <w:spacing w:before="60" w:after="60"/>
            </w:pPr>
            <w:r>
              <w:rPr>
                <w:rFonts w:ascii="Arial" w:cs="Arial" w:eastAsia="Arial" w:hAnsi="Arial"/>
                <w:color w:val="1E293B"/>
                <w:sz w:val="19"/>
                <w:szCs w:val="19"/>
              </w:rPr>
              <w:t xml:space="preserve">→ Alertes DLC automatiques</w:t>
            </w:r>
          </w:p>
          <w:p>
            <w:pPr>
              <w:spacing w:before="60" w:after="60"/>
            </w:pPr>
            <w:r>
              <w:rPr>
                <w:rFonts w:ascii="Arial" w:cs="Arial" w:eastAsia="Arial" w:hAnsi="Arial"/>
                <w:color w:val="1E293B"/>
                <w:sz w:val="19"/>
                <w:szCs w:val="19"/>
              </w:rPr>
              <w:t xml:space="preserve">→ Suggestions anti-gaspillage</w:t>
            </w:r>
          </w:p>
          <w:p>
            <w:pPr>
              <w:spacing w:before="60" w:after="60"/>
            </w:pPr>
            <w:r>
              <w:rPr>
                <w:rFonts w:ascii="Arial" w:cs="Arial" w:eastAsia="Arial" w:hAnsi="Arial"/>
                <w:color w:val="1E293B"/>
                <w:sz w:val="19"/>
                <w:szCs w:val="19"/>
              </w:rPr>
              <w:t xml:space="preserve">→ Dashboard cuisine simple</w:t>
            </w:r>
          </w:p>
        </w:tc>
        <w:tc>
          <w:tcPr>
            <w:tcBorders>
              <w:top w:val="single" w:color="E2E8F0" w:sz="1"/>
              <w:left w:val="single" w:color="E2E8F0" w:sz="1"/>
              <w:bottom w:val="single" w:color="E2E8F0" w:sz="1"/>
              <w:right w:val="single" w:color="E2E8F0" w:sz="1"/>
            </w:tcBorders>
            <w:shd w:fill="F0FDF4" w:val="clear"/>
            <w:tcMar>
              <w:top w:type="dxa" w:w="120"/>
              <w:left w:type="dxa" w:w="160"/>
              <w:bottom w:type="dxa" w:w="120"/>
              <w:right w:type="dxa" w:w="160"/>
            </w:tcMar>
          </w:tcPr>
          <w:p>
            <w:pPr>
              <w:spacing w:before="60" w:after="60"/>
            </w:pPr>
            <w:r>
              <w:rPr>
                <w:rFonts w:ascii="Arial" w:cs="Arial" w:eastAsia="Arial" w:hAnsi="Arial"/>
                <w:color w:val="1E293B"/>
                <w:sz w:val="19"/>
                <w:szCs w:val="19"/>
              </w:rPr>
              <w:t xml:space="preserve">→ Prédiction demande par ML</w:t>
            </w:r>
          </w:p>
          <w:p>
            <w:pPr>
              <w:spacing w:before="60" w:after="60"/>
            </w:pPr>
            <w:r>
              <w:rPr>
                <w:rFonts w:ascii="Arial" w:cs="Arial" w:eastAsia="Arial" w:hAnsi="Arial"/>
                <w:color w:val="1E293B"/>
                <w:sz w:val="19"/>
                <w:szCs w:val="19"/>
              </w:rPr>
              <w:t xml:space="preserve">→ Optimisation automatique commandes</w:t>
            </w:r>
          </w:p>
          <w:p>
            <w:pPr>
              <w:spacing w:before="60" w:after="60"/>
            </w:pPr>
            <w:r>
              <w:rPr>
                <w:rFonts w:ascii="Arial" w:cs="Arial" w:eastAsia="Arial" w:hAnsi="Arial"/>
                <w:color w:val="1E293B"/>
                <w:sz w:val="19"/>
                <w:szCs w:val="19"/>
              </w:rPr>
              <w:t xml:space="preserve">→ Analyse rentabilité par plat</w:t>
            </w:r>
          </w:p>
          <w:p>
            <w:pPr>
              <w:spacing w:before="60" w:after="60"/>
            </w:pPr>
            <w:r>
              <w:rPr>
                <w:rFonts w:ascii="Arial" w:cs="Arial" w:eastAsia="Arial" w:hAnsi="Arial"/>
                <w:color w:val="1E293B"/>
                <w:sz w:val="19"/>
                <w:szCs w:val="19"/>
              </w:rPr>
              <w:t xml:space="preserve">→ Intégration caisse / POS</w:t>
            </w:r>
          </w:p>
        </w:tc>
        <w:tc>
          <w:tcPr>
            <w:tcBorders>
              <w:top w:val="single" w:color="E2E8F0" w:sz="1"/>
              <w:left w:val="single" w:color="E2E8F0" w:sz="1"/>
              <w:bottom w:val="single" w:color="E2E8F0" w:sz="1"/>
              <w:right w:val="single" w:color="E2E8F0" w:sz="1"/>
            </w:tcBorders>
            <w:shd w:fill="FFF7ED" w:val="clear"/>
            <w:tcMar>
              <w:top w:type="dxa" w:w="120"/>
              <w:left w:type="dxa" w:w="160"/>
              <w:bottom w:type="dxa" w:w="120"/>
              <w:right w:type="dxa" w:w="160"/>
            </w:tcMar>
          </w:tcPr>
          <w:p>
            <w:pPr>
              <w:spacing w:before="60" w:after="60"/>
            </w:pPr>
            <w:r>
              <w:rPr>
                <w:rFonts w:ascii="Arial" w:cs="Arial" w:eastAsia="Arial" w:hAnsi="Arial"/>
                <w:color w:val="1E293B"/>
                <w:sz w:val="19"/>
                <w:szCs w:val="19"/>
              </w:rPr>
              <w:t xml:space="preserve">→ Multi-établissements</w:t>
            </w:r>
          </w:p>
          <w:p>
            <w:pPr>
              <w:spacing w:before="60" w:after="60"/>
            </w:pPr>
            <w:r>
              <w:rPr>
                <w:rFonts w:ascii="Arial" w:cs="Arial" w:eastAsia="Arial" w:hAnsi="Arial"/>
                <w:color w:val="1E293B"/>
                <w:sz w:val="19"/>
                <w:szCs w:val="19"/>
              </w:rPr>
              <w:t xml:space="preserve">→ API publique</w:t>
            </w:r>
          </w:p>
          <w:p>
            <w:pPr>
              <w:spacing w:before="60" w:after="60"/>
            </w:pPr>
            <w:r>
              <w:rPr>
                <w:rFonts w:ascii="Arial" w:cs="Arial" w:eastAsia="Arial" w:hAnsi="Arial"/>
                <w:color w:val="1E293B"/>
                <w:sz w:val="19"/>
                <w:szCs w:val="19"/>
              </w:rPr>
              <w:t xml:space="preserve">→ Module RH (plannings)</w:t>
            </w:r>
          </w:p>
          <w:p>
            <w:pPr>
              <w:spacing w:before="60" w:after="60"/>
            </w:pPr>
            <w:r>
              <w:rPr>
                <w:rFonts w:ascii="Arial" w:cs="Arial" w:eastAsia="Arial" w:hAnsi="Arial"/>
                <w:color w:val="1E293B"/>
                <w:sz w:val="19"/>
                <w:szCs w:val="19"/>
              </w:rPr>
              <w:t xml:space="preserve">→ Rapports PDF automatisés</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8. KPIs de Succès</w:t>
      </w:r>
    </w:p>
    <w:p>
      <w:pPr>
        <w:pStyle w:val="Heading2"/>
        <w:spacing w:before="320" w:after="160"/>
      </w:pPr>
      <w:r>
        <w:rPr>
          <w:rFonts w:ascii="Arial" w:cs="Arial" w:eastAsia="Arial" w:hAnsi="Arial"/>
          <w:b/>
          <w:bCs/>
          <w:color w:val="1A56DB"/>
          <w:sz w:val="28"/>
          <w:szCs w:val="28"/>
        </w:rPr>
        <w:t xml:space="preserve">8.1 KPIs Produit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Activation</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 d'utilisateurs ayant créé leur 1er stock dans les 48h</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Cible : &gt;70%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Rétention M3</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 de clients encore actifs à 3 mois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Cible : &gt;80%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NPS</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Score de recommandation net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Cible : &gt;45</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Daily Active Usage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 d'établissements qui ouvrent ChefAI chaque jour de service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Cible : &gt;60%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Time-to-value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Temps moyen avant premier gain mesurable détecté</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Cible : &lt;7 jours</w:t>
            </w:r>
          </w:p>
        </w:tc>
      </w:tr>
    </w:tbl>
    <w:p>
      <w:pPr>
        <w:spacing w:before="160"/>
      </w:pPr>
    </w:p>
    <w:p>
      <w:pPr>
        <w:pStyle w:val="Heading2"/>
        <w:spacing w:before="320" w:after="160"/>
      </w:pPr>
      <w:r>
        <w:rPr>
          <w:rFonts w:ascii="Arial" w:cs="Arial" w:eastAsia="Arial" w:hAnsi="Arial"/>
          <w:b/>
          <w:bCs/>
          <w:color w:val="1A56DB"/>
          <w:sz w:val="28"/>
          <w:szCs w:val="28"/>
        </w:rPr>
        <w:t xml:space="preserve">8.2 KPIs Business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MRR</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Monthly Recurring Revenue</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Cible M12 : €180K</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Churn mensuel</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Taux d'attrition mensuel</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Cible : &lt;2%</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CAC</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Coût d'acquisition client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Cible : &lt;€400</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LTV</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Lifetime Value estimée</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Cible : &gt;€2 400</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Expansion Revenue</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Revenus additionnels (upgrades, multi-sites)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Cible : 25% du MRR</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9. Risques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4860"/>
        <w:gridCol w:w="1000"/>
      </w:tblGrid>
      <w:tr>
        <w:tc>
          <w:tcPr>
            <w:tcW w:type="dxa" w:w="35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Fonctionnalité</w:t>
            </w:r>
          </w:p>
        </w:tc>
        <w:tc>
          <w:tcPr>
            <w:tcW w:type="dxa" w:w="486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c>
          <w:tcPr>
            <w:tcW w:type="dxa" w:w="1000"/>
            <w:tcBorders>
              <w:top w:val="single" w:color="E2E8F0" w:sz="1"/>
              <w:left w:val="single" w:color="E2E8F0" w:sz="1"/>
              <w:bottom w:val="single" w:color="E2E8F0" w:sz="1"/>
              <w:right w:val="single" w:color="E2E8F0" w:sz="1"/>
            </w:tcBorders>
            <w:shd w:fill="1A56DB" w:val="clear"/>
            <w:tcMar>
              <w:top w:type="dxa" w:w="100"/>
              <w:left w:type="dxa" w:w="120"/>
              <w:bottom w:type="dxa" w:w="100"/>
              <w:right w:type="dxa" w:w="120"/>
            </w:tcMar>
          </w:tcPr>
          <w:p>
            <w:r>
              <w:rPr>
                <w:rFonts w:ascii="Arial" w:cs="Arial" w:eastAsia="Arial" w:hAnsi="Arial"/>
                <w:b/>
                <w:bCs/>
                <w:color w:val="FFFFFF"/>
                <w:sz w:val="20"/>
                <w:szCs w:val="20"/>
              </w:rPr>
              <w:t xml:space="preserve">Priorité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Adoption terrain</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Les cuisiniers résistent aux outils numériques</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UX ultra-simple, formation courte, mode tablette</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Intégrations POS</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APIs propriétaires des caisses complexes à intégrer</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Partir sur saisie manuelle, intégrations progressives</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Précision IA</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Prédictions peu fiables au démarrage (cold start)</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Modèles génériques puis personnalisation à 8 semaines</w:t>
            </w:r>
          </w:p>
        </w:tc>
      </w:tr>
      <w:tr>
        <w:tc>
          <w:tcPr>
            <w:tcW w:type="dxa" w:w="35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Concurrence</w:t>
            </w:r>
          </w:p>
        </w:tc>
        <w:tc>
          <w:tcPr>
            <w:tcW w:type="dxa" w:w="486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val="false"/>
                <w:bCs w:val="false"/>
                <w:color w:val="1E293B"/>
                <w:sz w:val="20"/>
                <w:szCs w:val="20"/>
              </w:rPr>
              <w:t xml:space="preserve">Arrivée d'un acteur POS intégrant ces features</w:t>
            </w:r>
          </w:p>
        </w:tc>
        <w:tc>
          <w:tcPr>
            <w:tcW w:type="dxa" w:w="1000"/>
            <w:tcBorders>
              <w:top w:val="single" w:color="E2E8F0" w:sz="1"/>
              <w:left w:val="single" w:color="E2E8F0" w:sz="1"/>
              <w:bottom w:val="single" w:color="E2E8F0" w:sz="1"/>
              <w:right w:val="single" w:color="E2E8F0" w:sz="1"/>
            </w:tcBorders>
            <w:shd w:fill="F8FAFC" w:val="clear"/>
            <w:tcMar>
              <w:top w:type="dxa" w:w="80"/>
              <w:left w:type="dxa" w:w="120"/>
              <w:bottom w:type="dxa" w:w="80"/>
              <w:right w:type="dxa" w:w="120"/>
            </w:tcMar>
          </w:tcPr>
          <w:p>
            <w:r>
              <w:rPr>
                <w:rFonts w:ascii="Arial" w:cs="Arial" w:eastAsia="Arial" w:hAnsi="Arial"/>
                <w:b/>
                <w:bCs/>
                <w:color w:val="16A34A"/>
                <w:sz w:val="18"/>
                <w:szCs w:val="18"/>
              </w:rPr>
              <w:t xml:space="preserve">Aller vite sur les intégrations, viser la fidélité</w:t>
            </w:r>
          </w:p>
        </w:tc>
      </w:tr>
      <w:tr>
        <w:tc>
          <w:tcPr>
            <w:tcW w:type="dxa" w:w="35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Réglementation</w:t>
            </w:r>
          </w:p>
        </w:tc>
        <w:tc>
          <w:tcPr>
            <w:tcW w:type="dxa" w:w="486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val="false"/>
                <w:bCs w:val="false"/>
                <w:color w:val="1E293B"/>
                <w:sz w:val="20"/>
                <w:szCs w:val="20"/>
              </w:rPr>
              <w:t xml:space="preserve">Évolution des normes HACCP et traçabilité</w:t>
            </w:r>
          </w:p>
        </w:tc>
        <w:tc>
          <w:tcPr>
            <w:tcW w:type="dxa" w:w="1000"/>
            <w:tcBorders>
              <w:top w:val="single" w:color="E2E8F0" w:sz="1"/>
              <w:left w:val="single" w:color="E2E8F0" w:sz="1"/>
              <w:bottom w:val="single" w:color="E2E8F0" w:sz="1"/>
              <w:right w:val="single" w:color="E2E8F0" w:sz="1"/>
            </w:tcBorders>
            <w:shd w:fill="FFFFFF" w:val="clear"/>
            <w:tcMar>
              <w:top w:type="dxa" w:w="80"/>
              <w:left w:type="dxa" w:w="120"/>
              <w:bottom w:type="dxa" w:w="80"/>
              <w:right w:type="dxa" w:w="120"/>
            </w:tcMar>
          </w:tcPr>
          <w:p>
            <w:r>
              <w:rPr>
                <w:rFonts w:ascii="Arial" w:cs="Arial" w:eastAsia="Arial" w:hAnsi="Arial"/>
                <w:b/>
                <w:bCs/>
                <w:color w:val="16A34A"/>
                <w:sz w:val="18"/>
                <w:szCs w:val="18"/>
              </w:rPr>
              <w:t xml:space="preserve">Veille réglementaire, module conformité modulaire</w:t>
            </w:r>
          </w:p>
        </w:tc>
      </w:tr>
    </w:tbl>
    <w:p>
      <w:pPr>
        <w:spacing w:before="200"/>
      </w:pPr>
    </w:p>
    <w:p>
      <w:pPr>
        <w:pStyle w:val="Heading1"/>
        <w:pBdr>
          <w:bottom w:val="single" w:color="1A56DB" w:sz="3" w:space="6"/>
        </w:pBdr>
        <w:spacing w:before="400" w:after="200"/>
      </w:pPr>
      <w:r>
        <w:rPr>
          <w:rFonts w:ascii="Arial" w:cs="Arial" w:eastAsia="Arial" w:hAnsi="Arial"/>
          <w:b/>
          <w:bCs/>
          <w:color w:val="1E293B"/>
          <w:sz w:val="36"/>
          <w:szCs w:val="36"/>
        </w:rPr>
        <w:t xml:space="preserve">10. Prochaines Étapes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0FDF4" w:val="clear"/>
            <w:tcMar>
              <w:top w:type="dxa" w:w="160"/>
              <w:left w:type="dxa" w:w="240"/>
              <w:bottom w:type="dxa" w:w="160"/>
              <w:right w:type="dxa" w:w="240"/>
            </w:tcMar>
          </w:tcPr>
          <w:p>
            <w:pPr>
              <w:spacing w:before="0" w:after="80"/>
            </w:pPr>
            <w:r>
              <w:rPr>
                <w:rFonts w:ascii="Arial" w:cs="Arial" w:eastAsia="Arial" w:hAnsi="Arial"/>
                <w:b/>
                <w:bCs/>
                <w:color w:val="16A34A"/>
                <w:sz w:val="22"/>
                <w:szCs w:val="22"/>
              </w:rPr>
              <w:t xml:space="preserve">🚀 Actions immédiates (30 jours)</w:t>
            </w:r>
          </w:p>
          <w:p>
            <w:pPr>
              <w:spacing w:before="40" w:after="40"/>
            </w:pPr>
            <w:r>
              <w:rPr>
                <w:rFonts w:ascii="Arial" w:cs="Arial" w:eastAsia="Arial" w:hAnsi="Arial"/>
                <w:color w:val="16A34A"/>
                <w:sz w:val="20"/>
                <w:szCs w:val="20"/>
              </w:rPr>
              <w:t xml:space="preserve">1. Recruter 5 restaurants pilotes pour phase de validation (objectif : 1 étoile Michelin, 2 bistrots, 2 brasseries)</w:t>
            </w:r>
          </w:p>
          <w:p>
            <w:pPr>
              <w:spacing w:before="40" w:after="40"/>
            </w:pPr>
            <w:r>
              <w:rPr>
                <w:rFonts w:ascii="Arial" w:cs="Arial" w:eastAsia="Arial" w:hAnsi="Arial"/>
                <w:color w:val="16A34A"/>
                <w:sz w:val="20"/>
                <w:szCs w:val="20"/>
              </w:rPr>
              <w:t xml:space="preserve">2. Wireframes détaillés des écrans principaux (Figma) — focus cuisine et dashboard gérant</w:t>
            </w:r>
          </w:p>
          <w:p>
            <w:pPr>
              <w:spacing w:before="40" w:after="40"/>
            </w:pPr>
            <w:r>
              <w:rPr>
                <w:rFonts w:ascii="Arial" w:cs="Arial" w:eastAsia="Arial" w:hAnsi="Arial"/>
                <w:color w:val="16A34A"/>
                <w:sz w:val="20"/>
                <w:szCs w:val="20"/>
              </w:rPr>
              <w:t xml:space="preserve">3. Définir le stack de tracking produit (Mixpanel ou Amplitude) et instrumenter dès le MVP</w:t>
            </w:r>
          </w:p>
          <w:p>
            <w:pPr>
              <w:spacing w:before="40" w:after="40"/>
            </w:pPr>
            <w:r>
              <w:rPr>
                <w:rFonts w:ascii="Arial" w:cs="Arial" w:eastAsia="Arial" w:hAnsi="Arial"/>
                <w:color w:val="16A34A"/>
                <w:sz w:val="20"/>
                <w:szCs w:val="20"/>
              </w:rPr>
              <w:t xml:space="preserve">4. Signer les premiers accords de partenariat avec intégrateurs POS (Lightspeed en priorité)</w:t>
            </w:r>
          </w:p>
        </w:tc>
      </w:tr>
    </w:tbl>
    <w:p>
      <w:pPr>
        <w:spacing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none" w:color="FFFFFF" w:sz="0"/>
              <w:left w:val="none" w:color="FFFFFF" w:sz="0"/>
              <w:bottom w:val="none" w:color="FFFFFF" w:sz="0"/>
              <w:right w:val="none" w:color="FFFFFF" w:sz="0"/>
            </w:tcBorders>
            <w:shd w:fill="FFF7ED" w:val="clear"/>
            <w:tcMar>
              <w:top w:type="dxa" w:w="160"/>
              <w:left w:type="dxa" w:w="240"/>
              <w:bottom w:type="dxa" w:w="160"/>
              <w:right w:type="dxa" w:w="240"/>
            </w:tcMar>
          </w:tcPr>
          <w:p>
            <w:pPr>
              <w:spacing w:before="0" w:after="80"/>
            </w:pPr>
            <w:r>
              <w:rPr>
                <w:rFonts w:ascii="Arial" w:cs="Arial" w:eastAsia="Arial" w:hAnsi="Arial"/>
                <w:b/>
                <w:bCs/>
                <w:color w:val="EA580C"/>
                <w:sz w:val="22"/>
                <w:szCs w:val="22"/>
              </w:rPr>
              <w:t xml:space="preserve">⚠️ Points de décision à valider</w:t>
            </w:r>
          </w:p>
          <w:p>
            <w:pPr>
              <w:spacing w:before="40" w:after="40"/>
            </w:pPr>
            <w:r>
              <w:rPr>
                <w:rFonts w:ascii="Arial" w:cs="Arial" w:eastAsia="Arial" w:hAnsi="Arial"/>
                <w:color w:val="EA580C"/>
                <w:sz w:val="20"/>
                <w:szCs w:val="20"/>
              </w:rPr>
              <w:t xml:space="preserve">•  Aller vers une app mobile native (iOS/Android) ou rester PWA pour le MVP ?</w:t>
            </w:r>
          </w:p>
          <w:p>
            <w:pPr>
              <w:spacing w:before="40" w:after="40"/>
            </w:pPr>
            <w:r>
              <w:rPr>
                <w:rFonts w:ascii="Arial" w:cs="Arial" w:eastAsia="Arial" w:hAnsi="Arial"/>
                <w:color w:val="EA580C"/>
                <w:sz w:val="20"/>
                <w:szCs w:val="20"/>
              </w:rPr>
              <w:t xml:space="preserve">•  Cibler en priorité la France ou lancer multilingue dès le départ ?</w:t>
            </w:r>
          </w:p>
          <w:p>
            <w:pPr>
              <w:spacing w:before="40" w:after="40"/>
            </w:pPr>
            <w:r>
              <w:rPr>
                <w:rFonts w:ascii="Arial" w:cs="Arial" w:eastAsia="Arial" w:hAnsi="Arial"/>
                <w:color w:val="EA580C"/>
                <w:sz w:val="20"/>
                <w:szCs w:val="20"/>
              </w:rPr>
              <w:t xml:space="preserve">•  Construire le module fournisseurs en propre ou s'appuyer sur une API tierce (ex. Choco) ?</w:t>
            </w:r>
          </w:p>
        </w:tc>
      </w:tr>
    </w:tbl>
    <w:p>
      <w:pPr>
        <w:spacing w:before="240"/>
      </w:pPr>
    </w:p>
    <w:p>
      <w:pPr>
        <w:jc w:val="center"/>
      </w:pPr>
      <w:r>
        <w:rPr>
          <w:rFonts w:ascii="Arial" w:cs="Arial" w:eastAsia="Arial" w:hAnsi="Arial"/>
          <w:i/>
          <w:iCs/>
          <w:color w:val="64748B"/>
          <w:sz w:val="18"/>
          <w:szCs w:val="18"/>
        </w:rPr>
        <w:t xml:space="preserve">Document confidentiel — ChefAI © 2025 — Ne pas diffuser</w:t>
      </w:r>
    </w:p>
    <w:sectPr>
      <w:footerReference w:type="default" r:id="rId6"/>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4748B"/>
        <w:sz w:val="18"/>
        <w:szCs w:val="18"/>
      </w:rPr>
      <w:t xml:space="preserve">ChefAI — Spécifications Produit Confidentielles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lvl w:ilvl="1" w15:tentative="1">
      <w:start w:val="1"/>
      <w:numFmt w:val="bullet"/>
      <w:lvlText w:val="◦"/>
      <w:lvlJc w:val="left"/>
      <w:pPr>
        <w:ind w:left="100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E293B"/>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1A56DB"/>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2026-03-06T10:06:21.589Z</dcterms:created>
  <dcterms:modified xsi:type="dcterms:W3CDTF">2026-03-06T10:06:21.590Z</dcterms:modified>
</cp:coreProperties>
</file>

<file path=docProps/custom.xml><?xml version="1.0" encoding="utf-8"?>
<Properties xmlns="http://schemas.openxmlformats.org/officeDocument/2006/custom-properties" xmlns:vt="http://schemas.openxmlformats.org/officeDocument/2006/docPropsVTypes"/>
</file>