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Mercados</w:t>
            </w:r>
          </w:p>
        </w:tc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Decomposição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Crescimento real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Area wide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Region-mix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Competitive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Allocation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2F2F2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Brazil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1.195,3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1.557,7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-350,8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-30,1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-82,2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-306,4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-319,2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-119,7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156,0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-307,9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72,0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2F2F2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503,5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2.201,5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-1.451,8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-266,2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370,5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-180,2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-154,6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62,5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101,3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117,9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-504,2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282,6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2F2F2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1.406,0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628,3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-128,2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135,8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-58,2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420,3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-141,7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1.002,1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250,9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134,7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1.638,9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-1.022,4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2F2F2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681,3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-50,4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448,6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-191,9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166,5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69,8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203,4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241,7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-58,2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2F2F2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1.703,1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1.270,9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-67,5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125,3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-225,6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-84,0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-25,1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280,2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315,1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-22,5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-79,7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2F2F2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705,3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711,4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-6,6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106,8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-50,3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-81,7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76,0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shd w:val="clear" w:color="auto" w:fill="F2F2F2"/>
            <w:tcMar>
              <w:top w:w="25" w:type="dxa"/>
            </w:tcMa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1.714,2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654,5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68,8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254,2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218,0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-96,1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-28,5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104,2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-32,6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12,3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Nota: Baseado em Alavi &amp; Yasin (2000), Ribeiro &amp; Andrade (2015), Sobral et al. (2007), Toh et al. (2004), Yasin et al. (2004)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2026-03-10T17:18:09Z</dcterms:created>
  <dcterms:modified xsi:type="dcterms:W3CDTF">2026-03-10T17:18:09Z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