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spacing w:lineRule="exact" w:line="252" w:before="0" w:after="40"/>
        <w:jc w:val="left"/>
        <w:rPr>
          <w:rFonts w:ascii="Calibri" w:hAnsi="Calibri" w:eastAsia="Calibri" w:cs="Calibri"/>
          <w:b/>
          <w:b/>
          <w:bCs/>
          <w:i w:val="false"/>
          <w:i w:val="false"/>
          <w:iCs w:val="false"/>
          <w:color w:val="0E6B66"/>
          <w:sz w:val="18"/>
          <w:szCs w:val="18"/>
        </w:rPr>
      </w:pPr>
      <w:r>
        <w:rPr>
          <w:rFonts w:eastAsia="Calibri" w:cs="Calibri" w:ascii="Calibri" w:hAnsi="Calibri"/>
          <w:b/>
          <w:bCs/>
          <w:i w:val="false"/>
          <w:iCs w:val="false"/>
          <w:color w:val="0E6B66"/>
          <w:sz w:val="16"/>
          <w:szCs w:val="16"/>
        </w:rPr>
        <w:t>RELATÓRIO TÉCNICO</w:t>
      </w:r>
    </w:p>
    <w:p>
      <w:pPr>
        <w:pStyle w:val="Normal"/>
        <w:keepNext w:val="false"/>
        <w:keepLines w:val="false"/>
        <w:spacing w:lineRule="exact" w:line="252" w:before="40" w:after="60"/>
        <w:jc w:val="left"/>
        <w:rPr>
          <w:sz w:val="26"/>
          <w:szCs w:val="26"/>
        </w:rPr>
      </w:pPr>
      <w:r>
        <w:rPr>
          <w:rFonts w:eastAsia="Calibri" w:cs="Calibri" w:ascii="Calibri" w:hAnsi="Calibri"/>
          <w:b/>
          <w:bCs/>
          <w:i w:val="false"/>
          <w:iCs w:val="false"/>
          <w:color w:val="1B3A4B"/>
          <w:sz w:val="26"/>
          <w:szCs w:val="26"/>
        </w:rPr>
        <w:t>Análise dos critérios de caracterização de estágio inicial na coorte PRIME</w:t>
      </w:r>
    </w:p>
    <w:p>
      <w:pPr>
        <w:pStyle w:val="Normal"/>
        <w:keepNext w:val="false"/>
        <w:keepLines w:val="false"/>
        <w:spacing w:lineRule="exact" w:line="252" w:before="0" w:after="160"/>
        <w:jc w:val="left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5C6568"/>
          <w:sz w:val="20"/>
          <w:szCs w:val="20"/>
        </w:rPr>
        <w:t>Documento para discussão com a equipe clínica. Casuística: 133 pacientes com doença de Parkinson, com avaliação registrada até 22/10/2026.</w:t>
      </w:r>
    </w:p>
    <w:p>
      <w:pPr>
        <w:pStyle w:val="Normal"/>
        <w:keepNext w:val="false"/>
        <w:keepLines w:val="false"/>
        <w:pBdr>
          <w:left w:val="single" w:sz="18" w:space="8" w:color="0E6B66"/>
        </w:pBdr>
        <w:shd w:val="clear" w:fill="E7F0EF"/>
        <w:spacing w:lineRule="exact" w:line="252" w:before="80" w:after="160"/>
        <w:jc w:val="both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>O número de pacientes considerados em estágio inicial muda conforme a regra escolhida. Nesta casuística, 22,6% têm menos de 5 anos desde o início dos sintomas, 75,2% estão com Hoehn &amp; Yahr (H&amp;Y) abaixo de 3 e 43,6% têm exame motor leve no MDS-UPDRS parte III. Tempo de doença, estágio clínico e gravidade do exame são informações complementares. Uma não substitui a outra.</w:t>
      </w:r>
    </w:p>
    <w:p>
      <w:pPr>
        <w:pStyle w:val="Ttulo1"/>
        <w:keepNext w:val="true"/>
        <w:pBdr>
          <w:bottom w:val="single" w:sz="8" w:space="1" w:color="0E6B66"/>
        </w:pBdr>
        <w:spacing w:before="200" w:after="80"/>
        <w:rPr/>
      </w:pPr>
      <w:r>
        <w:rPr>
          <w:rFonts w:eastAsia="Calibri" w:cs="Calibri" w:ascii="Calibri" w:hAnsi="Calibri"/>
          <w:b/>
          <w:bCs/>
          <w:i w:val="false"/>
          <w:iCs w:val="false"/>
          <w:color w:val="1B3A4B"/>
          <w:sz w:val="26"/>
          <w:szCs w:val="26"/>
        </w:rPr>
        <w:t>1. Objetivo e escopo</w:t>
      </w:r>
    </w:p>
    <w:p>
      <w:pPr>
        <w:pStyle w:val="Normal"/>
        <w:spacing w:lineRule="exact" w:line="252" w:before="60" w:after="60"/>
        <w:jc w:val="both"/>
        <w:rPr/>
      </w:pPr>
      <w:r>
        <w:rPr>
          <w:rFonts w:eastAsia="Calibri" w:cs="Calibri" w:ascii="Calibri" w:hAnsi="Calibri"/>
          <w:b/>
          <w:bCs/>
          <w:i w:val="false"/>
          <w:iCs w:val="false"/>
          <w:color w:val="1C1C1C"/>
          <w:sz w:val="22"/>
          <w:szCs w:val="22"/>
        </w:rPr>
        <w:t xml:space="preserve">Objetivo.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>Verificar como diferentes formas de definir estágio inicial alteram o tamanho do grupo e descrever a relação entre o tempo de doença, o estágio de Hoehn &amp; Yahr e a gravidade motora do MDS-UPDRS parte III.</w:t>
      </w:r>
    </w:p>
    <w:p>
      <w:pPr>
        <w:pStyle w:val="Normal"/>
        <w:spacing w:lineRule="exact" w:line="252" w:before="60" w:after="60"/>
        <w:jc w:val="both"/>
        <w:rPr/>
      </w:pPr>
      <w:r>
        <w:rPr>
          <w:rFonts w:eastAsia="Calibri" w:cs="Calibri" w:ascii="Calibri" w:hAnsi="Calibri"/>
          <w:b/>
          <w:bCs/>
          <w:i w:val="false"/>
          <w:iCs w:val="false"/>
          <w:color w:val="1C1C1C"/>
          <w:sz w:val="22"/>
          <w:szCs w:val="22"/>
        </w:rPr>
        <w:t xml:space="preserve">Escopo.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>A análise inclui os 133 pacientes com doença de Parkinson que têm avaliação clínica com data de coleta até 22/10/2026. Para quem tem mais de uma avaliação, vale a mais recente. Controles saudáveis, os identificadores de teste P000 e P00 e o paciente P048 não entram. O P048 fica de fora porque a duração estimada é de 39 anos e o H&amp;Y é 0, com exame leve e sem medicação antiparkinsoniana. Esse conjunto não se lê como doença típica e distorcia o grupo de estágio baixo. Outros registros com duração muito longa ou igual a zero permanecem na contagem e estão listados para revisão médica.</w:t>
      </w:r>
    </w:p>
    <w:p>
      <w:pPr>
        <w:pStyle w:val="Ttulo1"/>
        <w:keepNext w:val="true"/>
        <w:pBdr>
          <w:bottom w:val="single" w:sz="8" w:space="1" w:color="0E6B66"/>
        </w:pBdr>
        <w:spacing w:before="200" w:after="80"/>
        <w:rPr/>
      </w:pPr>
      <w:r>
        <w:rPr>
          <w:rFonts w:eastAsia="Calibri" w:cs="Calibri" w:ascii="Calibri" w:hAnsi="Calibri"/>
          <w:b/>
          <w:bCs/>
          <w:i w:val="false"/>
          <w:iCs w:val="false"/>
          <w:color w:val="1B3A4B"/>
          <w:sz w:val="26"/>
          <w:szCs w:val="26"/>
        </w:rPr>
        <w:t>2. Variáveis utilizadas</w:t>
      </w:r>
    </w:p>
    <w:p>
      <w:pPr>
        <w:pStyle w:val="Normal"/>
        <w:keepNext w:val="false"/>
        <w:keepLines w:val="false"/>
        <w:spacing w:lineRule="exact" w:line="252" w:before="60" w:after="60"/>
        <w:jc w:val="both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>As três medidas abaixo descrevem aspectos diferentes da doença. O tempo informa há quanto tempo os sintomas começaram. O H&amp;Y informa o estágio funcional, com atenção para o acometimento dos dois lados do corpo, o equilíbrio e a independência. O MDS-UPDRS parte III informa a gravidade dos sinais motores no dia do exame.</w:t>
      </w:r>
    </w:p>
    <w:tbl>
      <w:tblPr>
        <w:tblW w:w="9638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800"/>
        <w:gridCol w:w="2800"/>
        <w:gridCol w:w="5038"/>
      </w:tblGrid>
      <w:tr>
        <w:trPr>
          <w:tblHeader w:val="true"/>
          <w:cantSplit w:val="true"/>
        </w:trPr>
        <w:tc>
          <w:tcPr>
            <w:tcW w:w="1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1B3A4B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Dimensão</w:t>
            </w:r>
          </w:p>
        </w:tc>
        <w:tc>
          <w:tcPr>
            <w:tcW w:w="2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1B3A4B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Variável</w:t>
            </w:r>
          </w:p>
        </w:tc>
        <w:tc>
          <w:tcPr>
            <w:tcW w:w="50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1B3A4B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Como ler</w:t>
            </w:r>
          </w:p>
        </w:tc>
      </w:tr>
      <w:tr>
        <w:trPr>
          <w:cantSplit w:val="true"/>
        </w:trPr>
        <w:tc>
          <w:tcPr>
            <w:tcW w:w="1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Tempo de doença</w:t>
            </w:r>
          </w:p>
        </w:tc>
        <w:tc>
          <w:tcPr>
            <w:tcW w:w="2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Duração desde o início dos sintomas</w:t>
            </w:r>
          </w:p>
        </w:tc>
        <w:tc>
          <w:tcPr>
            <w:tcW w:w="50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Idade atual menos a idade de início dos sintomas, em anos.</w:t>
            </w:r>
          </w:p>
        </w:tc>
      </w:tr>
      <w:tr>
        <w:trPr>
          <w:cantSplit w:val="true"/>
        </w:trPr>
        <w:tc>
          <w:tcPr>
            <w:tcW w:w="1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4F7F7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Estágio clínico</w:t>
            </w:r>
          </w:p>
        </w:tc>
        <w:tc>
          <w:tcPr>
            <w:tcW w:w="2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4F7F7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Hoehn &amp; Yahr (H&amp;Y)</w:t>
            </w:r>
          </w:p>
        </w:tc>
        <w:tc>
          <w:tcPr>
            <w:tcW w:w="50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4F7F7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Estágio de 0 a 5. Até 2, ainda não há alteração do equilíbrio. Abaixo de 3, inclui o 2,5 e a independência se mantém.</w:t>
            </w:r>
          </w:p>
        </w:tc>
      </w:tr>
      <w:tr>
        <w:trPr>
          <w:cantSplit w:val="true"/>
        </w:trPr>
        <w:tc>
          <w:tcPr>
            <w:tcW w:w="1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Exame motor</w:t>
            </w:r>
          </w:p>
        </w:tc>
        <w:tc>
          <w:tcPr>
            <w:tcW w:w="28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MDS-UPDRS parte III</w:t>
            </w:r>
          </w:p>
        </w:tc>
        <w:tc>
          <w:tcPr>
            <w:tcW w:w="50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Leve: até 32 pontos. Moderado: 33 a 58. Grave: 59 ou mais.</w:t>
            </w:r>
          </w:p>
        </w:tc>
      </w:tr>
    </w:tbl>
    <w:p>
      <w:pPr>
        <w:pStyle w:val="Normal"/>
        <w:keepNext w:val="false"/>
        <w:keepLines w:val="false"/>
        <w:spacing w:lineRule="exact" w:line="252" w:before="80" w:after="60"/>
        <w:jc w:val="both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5C6568"/>
          <w:sz w:val="18"/>
          <w:szCs w:val="18"/>
        </w:rPr>
        <w:t>A faixa do MDS-UPDRS parte III segue Martínez-Martín e colaboradores (2015). A idade usada na conta é o ano de 2026 menos o ano de nascimento. Quando falta a data de nascimento ou a idade de início, a duração fica em branco e a pessoa não entra nas regras que dependem do tempo.</w:t>
      </w:r>
    </w:p>
    <w:p>
      <w:pPr>
        <w:pStyle w:val="Ttulo1"/>
        <w:keepNext w:val="true"/>
        <w:pBdr>
          <w:bottom w:val="single" w:sz="8" w:space="1" w:color="0E6B66"/>
        </w:pBdr>
        <w:spacing w:before="200" w:after="80"/>
        <w:rPr/>
      </w:pPr>
      <w:r>
        <w:rPr>
          <w:rFonts w:eastAsia="Calibri" w:cs="Calibri" w:ascii="Calibri" w:hAnsi="Calibri"/>
          <w:b/>
          <w:bCs/>
          <w:i w:val="false"/>
          <w:iCs w:val="false"/>
          <w:color w:val="1B3A4B"/>
          <w:sz w:val="26"/>
          <w:szCs w:val="26"/>
        </w:rPr>
        <w:t>3. Caracterização da coorte</w:t>
      </w:r>
    </w:p>
    <w:tbl>
      <w:tblPr>
        <w:tblW w:w="9638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4799"/>
        <w:gridCol w:w="4838"/>
      </w:tblGrid>
      <w:tr>
        <w:trPr>
          <w:tblHeader w:val="true"/>
          <w:cantSplit w:val="true"/>
        </w:trPr>
        <w:tc>
          <w:tcPr>
            <w:tcW w:w="47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1B3A4B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48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1B3A4B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Resultado</w:t>
            </w:r>
          </w:p>
        </w:tc>
      </w:tr>
      <w:tr>
        <w:trPr>
          <w:cantSplit w:val="true"/>
        </w:trPr>
        <w:tc>
          <w:tcPr>
            <w:tcW w:w="47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Pacientes com Parkinson</w:t>
            </w:r>
          </w:p>
        </w:tc>
        <w:tc>
          <w:tcPr>
            <w:tcW w:w="48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133</w:t>
            </w:r>
          </w:p>
        </w:tc>
      </w:tr>
      <w:tr>
        <w:trPr>
          <w:cantSplit w:val="true"/>
        </w:trPr>
        <w:tc>
          <w:tcPr>
            <w:tcW w:w="47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4F7F7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Idade média</w:t>
            </w:r>
          </w:p>
        </w:tc>
        <w:tc>
          <w:tcPr>
            <w:tcW w:w="48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4F7F7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61,9 anos</w:t>
            </w:r>
          </w:p>
        </w:tc>
      </w:tr>
      <w:tr>
        <w:trPr>
          <w:cantSplit w:val="true"/>
        </w:trPr>
        <w:tc>
          <w:tcPr>
            <w:tcW w:w="47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Sexo</w:t>
            </w:r>
          </w:p>
        </w:tc>
        <w:tc>
          <w:tcPr>
            <w:tcW w:w="48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87 homens (65,4%); 46 mulheres (34,6%)</w:t>
            </w:r>
          </w:p>
        </w:tc>
      </w:tr>
      <w:tr>
        <w:trPr>
          <w:cantSplit w:val="true"/>
        </w:trPr>
        <w:tc>
          <w:tcPr>
            <w:tcW w:w="47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4F7F7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Duração mediana</w:t>
            </w:r>
          </w:p>
        </w:tc>
        <w:tc>
          <w:tcPr>
            <w:tcW w:w="48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4F7F7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7 anos</w:t>
            </w:r>
          </w:p>
        </w:tc>
      </w:tr>
      <w:tr>
        <w:trPr>
          <w:cantSplit w:val="true"/>
        </w:trPr>
        <w:tc>
          <w:tcPr>
            <w:tcW w:w="47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H&amp;Y mediano</w:t>
            </w:r>
          </w:p>
        </w:tc>
        <w:tc>
          <w:tcPr>
            <w:tcW w:w="48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2,5</w:t>
            </w:r>
          </w:p>
        </w:tc>
      </w:tr>
      <w:tr>
        <w:trPr>
          <w:cantSplit w:val="true"/>
        </w:trPr>
        <w:tc>
          <w:tcPr>
            <w:tcW w:w="47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4F7F7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MDS-UPDRS parte III</w:t>
            </w:r>
          </w:p>
        </w:tc>
        <w:tc>
          <w:tcPr>
            <w:tcW w:w="48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4F7F7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média 39,0; mediana 37</w:t>
            </w:r>
          </w:p>
        </w:tc>
      </w:tr>
    </w:tbl>
    <w:p>
      <w:pPr>
        <w:pStyle w:val="Normal"/>
        <w:keepNext w:val="false"/>
        <w:keepLines w:val="false"/>
        <w:spacing w:lineRule="exact" w:line="252" w:before="60" w:after="60"/>
        <w:jc w:val="both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5C6568"/>
          <w:sz w:val="18"/>
          <w:szCs w:val="18"/>
        </w:rPr>
        <w:t>Duração ausente: 0. H&amp;Y ausente: 0. UPDRS III ausente: 0.</w:t>
      </w:r>
    </w:p>
    <w:p>
      <w:pPr>
        <w:pStyle w:val="Normal"/>
        <w:keepNext w:val="false"/>
        <w:keepLines w:val="false"/>
        <w:spacing w:lineRule="exact" w:line="252" w:before="60" w:after="60"/>
        <w:jc w:val="left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5C6568"/>
          <w:sz w:val="18"/>
          <w:szCs w:val="18"/>
        </w:rPr>
        <w:t>Quantidade de pacientes em cada estágio de Hoehn &amp; Yahr.</w:t>
      </w:r>
    </w:p>
    <w:tbl>
      <w:tblPr>
        <w:tblW w:w="9638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799"/>
        <w:gridCol w:w="2000"/>
        <w:gridCol w:w="4839"/>
      </w:tblGrid>
      <w:tr>
        <w:trPr>
          <w:tblHeader w:val="true"/>
          <w:cantSplit w:val="true"/>
        </w:trPr>
        <w:tc>
          <w:tcPr>
            <w:tcW w:w="27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1B3A4B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H&amp;Y</w:t>
            </w:r>
          </w:p>
        </w:tc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1B3A4B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N</w:t>
            </w:r>
          </w:p>
        </w:tc>
        <w:tc>
          <w:tcPr>
            <w:tcW w:w="483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1B3A4B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% da coorte</w:t>
            </w:r>
          </w:p>
        </w:tc>
      </w:tr>
      <w:tr>
        <w:trPr>
          <w:cantSplit w:val="true"/>
        </w:trPr>
        <w:tc>
          <w:tcPr>
            <w:tcW w:w="27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12</w:t>
            </w:r>
          </w:p>
        </w:tc>
        <w:tc>
          <w:tcPr>
            <w:tcW w:w="483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9,0%</w:t>
            </w:r>
          </w:p>
        </w:tc>
      </w:tr>
      <w:tr>
        <w:trPr>
          <w:cantSplit w:val="true"/>
        </w:trPr>
        <w:tc>
          <w:tcPr>
            <w:tcW w:w="27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4F7F7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1,5</w:t>
            </w:r>
          </w:p>
        </w:tc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4F7F7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6</w:t>
            </w:r>
          </w:p>
        </w:tc>
        <w:tc>
          <w:tcPr>
            <w:tcW w:w="483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4F7F7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4,5%</w:t>
            </w:r>
          </w:p>
        </w:tc>
      </w:tr>
      <w:tr>
        <w:trPr>
          <w:cantSplit w:val="true"/>
        </w:trPr>
        <w:tc>
          <w:tcPr>
            <w:tcW w:w="27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43</w:t>
            </w:r>
          </w:p>
        </w:tc>
        <w:tc>
          <w:tcPr>
            <w:tcW w:w="483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32,3%</w:t>
            </w:r>
          </w:p>
        </w:tc>
      </w:tr>
      <w:tr>
        <w:trPr>
          <w:cantSplit w:val="true"/>
        </w:trPr>
        <w:tc>
          <w:tcPr>
            <w:tcW w:w="27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E7F0E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>2,5</w:t>
            </w:r>
          </w:p>
        </w:tc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E7F0E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39</w:t>
            </w:r>
          </w:p>
        </w:tc>
        <w:tc>
          <w:tcPr>
            <w:tcW w:w="483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E7F0E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29,3%</w:t>
            </w:r>
          </w:p>
        </w:tc>
      </w:tr>
      <w:tr>
        <w:trPr>
          <w:cantSplit w:val="true"/>
        </w:trPr>
        <w:tc>
          <w:tcPr>
            <w:tcW w:w="27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23</w:t>
            </w:r>
          </w:p>
        </w:tc>
        <w:tc>
          <w:tcPr>
            <w:tcW w:w="483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17,3%</w:t>
            </w:r>
          </w:p>
        </w:tc>
      </w:tr>
      <w:tr>
        <w:trPr>
          <w:cantSplit w:val="true"/>
        </w:trPr>
        <w:tc>
          <w:tcPr>
            <w:tcW w:w="27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4F7F7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4F7F7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10</w:t>
            </w:r>
          </w:p>
        </w:tc>
        <w:tc>
          <w:tcPr>
            <w:tcW w:w="483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4F7F7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7,5%</w:t>
            </w:r>
          </w:p>
        </w:tc>
      </w:tr>
    </w:tbl>
    <w:p>
      <w:pPr>
        <w:pStyle w:val="Normal"/>
        <w:keepNext w:val="false"/>
        <w:keepLines w:val="false"/>
        <w:spacing w:lineRule="exact" w:line="252" w:before="60" w:after="60"/>
        <w:jc w:val="both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>Alguns registros pedem conferência antes de serem lidos como doença típica. Eles continuam incluídos nos números deste relatório.</w:t>
      </w:r>
    </w:p>
    <w:tbl>
      <w:tblPr>
        <w:tblW w:w="9638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199"/>
        <w:gridCol w:w="1001"/>
        <w:gridCol w:w="1200"/>
        <w:gridCol w:w="900"/>
        <w:gridCol w:w="1299"/>
        <w:gridCol w:w="4038"/>
      </w:tblGrid>
      <w:tr>
        <w:trPr>
          <w:tblHeader w:val="true"/>
          <w:cantSplit w:val="true"/>
        </w:trPr>
        <w:tc>
          <w:tcPr>
            <w:tcW w:w="11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1B3A4B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Paciente</w:t>
            </w:r>
          </w:p>
        </w:tc>
        <w:tc>
          <w:tcPr>
            <w:tcW w:w="1001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1B3A4B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Idade</w:t>
            </w:r>
          </w:p>
        </w:tc>
        <w:tc>
          <w:tcPr>
            <w:tcW w:w="12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1B3A4B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Duração</w:t>
            </w:r>
          </w:p>
        </w:tc>
        <w:tc>
          <w:tcPr>
            <w:tcW w:w="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1B3A4B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H&amp;Y</w:t>
            </w:r>
          </w:p>
        </w:tc>
        <w:tc>
          <w:tcPr>
            <w:tcW w:w="12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1B3A4B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UPDRS III</w:t>
            </w:r>
          </w:p>
        </w:tc>
        <w:tc>
          <w:tcPr>
            <w:tcW w:w="40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1B3A4B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Motivo da revisão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P126</w:t>
            </w:r>
          </w:p>
        </w:tc>
        <w:tc>
          <w:tcPr>
            <w:tcW w:w="1001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70</w:t>
            </w:r>
          </w:p>
        </w:tc>
        <w:tc>
          <w:tcPr>
            <w:tcW w:w="12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40</w:t>
            </w:r>
          </w:p>
        </w:tc>
        <w:tc>
          <w:tcPr>
            <w:tcW w:w="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4</w:t>
            </w:r>
          </w:p>
        </w:tc>
        <w:tc>
          <w:tcPr>
            <w:tcW w:w="12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44</w:t>
            </w:r>
          </w:p>
        </w:tc>
        <w:tc>
          <w:tcPr>
            <w:tcW w:w="40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duração de 30 anos ou mais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4F7F7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P139</w:t>
            </w:r>
          </w:p>
        </w:tc>
        <w:tc>
          <w:tcPr>
            <w:tcW w:w="1001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4F7F7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70</w:t>
            </w:r>
          </w:p>
        </w:tc>
        <w:tc>
          <w:tcPr>
            <w:tcW w:w="12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4F7F7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30</w:t>
            </w:r>
          </w:p>
        </w:tc>
        <w:tc>
          <w:tcPr>
            <w:tcW w:w="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4F7F7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2</w:t>
            </w:r>
          </w:p>
        </w:tc>
        <w:tc>
          <w:tcPr>
            <w:tcW w:w="12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4F7F7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40</w:t>
            </w:r>
          </w:p>
        </w:tc>
        <w:tc>
          <w:tcPr>
            <w:tcW w:w="40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4F7F7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duração de 30 anos ou mais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P148</w:t>
            </w:r>
          </w:p>
        </w:tc>
        <w:tc>
          <w:tcPr>
            <w:tcW w:w="1001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49</w:t>
            </w:r>
          </w:p>
        </w:tc>
        <w:tc>
          <w:tcPr>
            <w:tcW w:w="12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1,5</w:t>
            </w:r>
          </w:p>
        </w:tc>
        <w:tc>
          <w:tcPr>
            <w:tcW w:w="12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24</w:t>
            </w:r>
          </w:p>
        </w:tc>
        <w:tc>
          <w:tcPr>
            <w:tcW w:w="40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duração igual a zero</w:t>
            </w:r>
          </w:p>
        </w:tc>
      </w:tr>
    </w:tbl>
    <w:p>
      <w:pPr>
        <w:pStyle w:val="Ttulo1"/>
        <w:keepNext w:val="true"/>
        <w:pBdr>
          <w:bottom w:val="single" w:sz="8" w:space="1" w:color="0E6B66"/>
        </w:pBdr>
        <w:spacing w:before="200" w:after="80"/>
        <w:rPr/>
      </w:pPr>
      <w:r>
        <w:rPr>
          <w:rFonts w:eastAsia="Calibri" w:cs="Calibri" w:ascii="Calibri" w:hAnsi="Calibri"/>
          <w:b/>
          <w:bCs/>
          <w:i w:val="false"/>
          <w:iCs w:val="false"/>
          <w:color w:val="1B3A4B"/>
          <w:sz w:val="26"/>
          <w:szCs w:val="26"/>
        </w:rPr>
        <w:t>4. Impacto da definição de estágio inicial</w:t>
      </w:r>
    </w:p>
    <w:p>
      <w:pPr>
        <w:pStyle w:val="Normal"/>
        <w:keepNext w:val="false"/>
        <w:keepLines w:val="false"/>
        <w:spacing w:lineRule="exact" w:line="252" w:before="60" w:after="60"/>
        <w:jc w:val="both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>A mesma casuística produz grupos de tamanhos bem diferentes conforme a regra. A tabela abaixo mostra quantas pessoas cada definição alcança.</w:t>
      </w:r>
    </w:p>
    <w:tbl>
      <w:tblPr>
        <w:tblW w:w="9638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7238"/>
        <w:gridCol w:w="1099"/>
        <w:gridCol w:w="1301"/>
      </w:tblGrid>
      <w:tr>
        <w:trPr>
          <w:tblHeader w:val="true"/>
          <w:cantSplit w:val="true"/>
        </w:trPr>
        <w:tc>
          <w:tcPr>
            <w:tcW w:w="72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1B3A4B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Critério</w:t>
            </w:r>
          </w:p>
        </w:tc>
        <w:tc>
          <w:tcPr>
            <w:tcW w:w="10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1B3A4B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N</w:t>
            </w:r>
          </w:p>
        </w:tc>
        <w:tc>
          <w:tcPr>
            <w:tcW w:w="1301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1B3A4B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% da coorte</w:t>
            </w:r>
          </w:p>
        </w:tc>
      </w:tr>
      <w:tr>
        <w:trPr>
          <w:cantSplit w:val="true"/>
        </w:trPr>
        <w:tc>
          <w:tcPr>
            <w:tcW w:w="72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E7F0E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>H&amp;Y igual ou inferior a 2</w:t>
            </w:r>
          </w:p>
        </w:tc>
        <w:tc>
          <w:tcPr>
            <w:tcW w:w="10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E7F0E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61</w:t>
            </w:r>
          </w:p>
        </w:tc>
        <w:tc>
          <w:tcPr>
            <w:tcW w:w="1301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E7F0E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45,9%</w:t>
            </w:r>
          </w:p>
        </w:tc>
      </w:tr>
      <w:tr>
        <w:trPr>
          <w:cantSplit w:val="true"/>
        </w:trPr>
        <w:tc>
          <w:tcPr>
            <w:tcW w:w="72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4F7F7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H&amp;Y inferior a 3</w:t>
            </w:r>
          </w:p>
        </w:tc>
        <w:tc>
          <w:tcPr>
            <w:tcW w:w="10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4F7F7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100</w:t>
            </w:r>
          </w:p>
        </w:tc>
        <w:tc>
          <w:tcPr>
            <w:tcW w:w="1301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4F7F7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75,2%</w:t>
            </w:r>
          </w:p>
        </w:tc>
      </w:tr>
      <w:tr>
        <w:trPr>
          <w:cantSplit w:val="true"/>
        </w:trPr>
        <w:tc>
          <w:tcPr>
            <w:tcW w:w="72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H&amp;Y igual ou inferior a 3</w:t>
            </w:r>
          </w:p>
        </w:tc>
        <w:tc>
          <w:tcPr>
            <w:tcW w:w="10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123</w:t>
            </w:r>
          </w:p>
        </w:tc>
        <w:tc>
          <w:tcPr>
            <w:tcW w:w="1301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92,5%</w:t>
            </w:r>
          </w:p>
        </w:tc>
      </w:tr>
      <w:tr>
        <w:trPr>
          <w:cantSplit w:val="true"/>
        </w:trPr>
        <w:tc>
          <w:tcPr>
            <w:tcW w:w="72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E7F0E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>Duração inferior a 5 anos</w:t>
            </w:r>
          </w:p>
        </w:tc>
        <w:tc>
          <w:tcPr>
            <w:tcW w:w="10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E7F0E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30</w:t>
            </w:r>
          </w:p>
        </w:tc>
        <w:tc>
          <w:tcPr>
            <w:tcW w:w="1301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E7F0E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22,6%</w:t>
            </w:r>
          </w:p>
        </w:tc>
      </w:tr>
      <w:tr>
        <w:trPr>
          <w:cantSplit w:val="true"/>
        </w:trPr>
        <w:tc>
          <w:tcPr>
            <w:tcW w:w="72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H&amp;Y inferior a 3 e duração inferior a 5 anos</w:t>
            </w:r>
          </w:p>
        </w:tc>
        <w:tc>
          <w:tcPr>
            <w:tcW w:w="10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26</w:t>
            </w:r>
          </w:p>
        </w:tc>
        <w:tc>
          <w:tcPr>
            <w:tcW w:w="1301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19,5%</w:t>
            </w:r>
          </w:p>
        </w:tc>
      </w:tr>
      <w:tr>
        <w:trPr>
          <w:cantSplit w:val="true"/>
        </w:trPr>
        <w:tc>
          <w:tcPr>
            <w:tcW w:w="72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E7F0E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>H&amp;Y igual ou inferior a 3 e duração inferior a 5 anos</w:t>
            </w:r>
          </w:p>
        </w:tc>
        <w:tc>
          <w:tcPr>
            <w:tcW w:w="10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E7F0E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30</w:t>
            </w:r>
          </w:p>
        </w:tc>
        <w:tc>
          <w:tcPr>
            <w:tcW w:w="1301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E7F0E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22,6%</w:t>
            </w:r>
          </w:p>
        </w:tc>
      </w:tr>
      <w:tr>
        <w:trPr>
          <w:cantSplit w:val="true"/>
        </w:trPr>
        <w:tc>
          <w:tcPr>
            <w:tcW w:w="72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UPDRS III leve (até 32)</w:t>
            </w:r>
          </w:p>
        </w:tc>
        <w:tc>
          <w:tcPr>
            <w:tcW w:w="10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58</w:t>
            </w:r>
          </w:p>
        </w:tc>
        <w:tc>
          <w:tcPr>
            <w:tcW w:w="1301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43,6%</w:t>
            </w:r>
          </w:p>
        </w:tc>
      </w:tr>
      <w:tr>
        <w:trPr>
          <w:cantSplit w:val="true"/>
        </w:trPr>
        <w:tc>
          <w:tcPr>
            <w:tcW w:w="72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E7F0E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>H&amp;Y igual ou inferior a 2 e UPDRS III leve</w:t>
            </w:r>
          </w:p>
        </w:tc>
        <w:tc>
          <w:tcPr>
            <w:tcW w:w="10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E7F0E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37</w:t>
            </w:r>
          </w:p>
        </w:tc>
        <w:tc>
          <w:tcPr>
            <w:tcW w:w="1301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E7F0E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27,8%</w:t>
            </w:r>
          </w:p>
        </w:tc>
      </w:tr>
      <w:tr>
        <w:trPr>
          <w:cantSplit w:val="true"/>
        </w:trPr>
        <w:tc>
          <w:tcPr>
            <w:tcW w:w="72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H&amp;Y inferior a 3 e UPDRS III leve</w:t>
            </w:r>
          </w:p>
        </w:tc>
        <w:tc>
          <w:tcPr>
            <w:tcW w:w="10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52</w:t>
            </w:r>
          </w:p>
        </w:tc>
        <w:tc>
          <w:tcPr>
            <w:tcW w:w="1301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39,1%</w:t>
            </w:r>
          </w:p>
        </w:tc>
      </w:tr>
    </w:tbl>
    <w:p>
      <w:pPr>
        <w:pStyle w:val="Normal"/>
        <w:spacing w:lineRule="exact" w:line="252" w:before="60" w:after="60"/>
        <w:jc w:val="both"/>
        <w:rPr/>
      </w:pPr>
      <w:r>
        <w:rPr>
          <w:rFonts w:eastAsia="Calibri" w:cs="Calibri" w:ascii="Calibri" w:hAnsi="Calibri"/>
          <w:b/>
          <w:bCs/>
          <w:i w:val="false"/>
          <w:iCs w:val="false"/>
          <w:color w:val="1C1C1C"/>
          <w:sz w:val="22"/>
          <w:szCs w:val="22"/>
        </w:rPr>
        <w:t xml:space="preserve">Análise.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>A regra que exige H&amp;Y igual ou inferior a 3 e duração inferior a 5 anos reúne as mesmas 30 pessoas da regra que olha só a duração. Ninguém com menos de 5 anos de sintomas está acima do estágio 3. Nesta casuística, o que reduz o grupo é o limite de tempo. Dizer que há poucos pacientes iniciais por essa regra equivale a dizer que há poucos pacientes com menos de cinco anos de sintomas.</w:t>
      </w:r>
    </w:p>
    <w:p>
      <w:pPr>
        <w:pStyle w:val="Normal"/>
        <w:spacing w:lineRule="exact" w:line="252" w:before="60" w:after="60"/>
        <w:jc w:val="both"/>
        <w:rPr/>
      </w:pPr>
      <w:r>
        <w:rPr>
          <w:rFonts w:eastAsia="Calibri" w:cs="Calibri" w:ascii="Calibri" w:hAnsi="Calibri"/>
          <w:b/>
          <w:bCs/>
          <w:i w:val="false"/>
          <w:iCs w:val="false"/>
          <w:color w:val="1C1C1C"/>
          <w:sz w:val="22"/>
          <w:szCs w:val="22"/>
        </w:rPr>
        <w:t xml:space="preserve">Corte em H&amp;Y 2.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>H&amp;Y igual ou inferior a 2 reúne 61 pessoas (45,9%). As outras 39 pessoas do grupo abaixo de 3 estão no estágio 2,5, já com o primeiro sinal de alteração do equilíbrio. Dessas 39, 15 têm exame leve, 16 moderado e 8 grave. Exigir H&amp;Y até 2 e exame leve reúne 37 pessoas (27,8%).</w:t>
      </w:r>
    </w:p>
    <w:p>
      <w:pPr>
        <w:pStyle w:val="Ttulo1"/>
        <w:keepNext w:val="true"/>
        <w:pBdr>
          <w:bottom w:val="single" w:sz="8" w:space="1" w:color="0E6B66"/>
        </w:pBdr>
        <w:spacing w:before="200" w:after="80"/>
        <w:rPr/>
      </w:pPr>
      <w:r>
        <w:rPr>
          <w:rFonts w:eastAsia="Calibri" w:cs="Calibri" w:ascii="Calibri" w:hAnsi="Calibri"/>
          <w:b/>
          <w:bCs/>
          <w:i w:val="false"/>
          <w:iCs w:val="false"/>
          <w:color w:val="1B3A4B"/>
          <w:sz w:val="26"/>
          <w:szCs w:val="26"/>
        </w:rPr>
        <w:t>5. Relação entre estágio clínico e gravidade motora</w:t>
      </w:r>
    </w:p>
    <w:p>
      <w:pPr>
        <w:pStyle w:val="Normal"/>
        <w:keepNext w:val="false"/>
        <w:keepLines w:val="false"/>
        <w:spacing w:lineRule="exact" w:line="252" w:before="60" w:after="60"/>
        <w:jc w:val="both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>O exame motor se divide de forma equilibrada entre leve e moderado, com menos casos graves: 58 leves (43,6%), 54 moderados (40,6%) e 21 graves (15,8%).</w:t>
      </w:r>
    </w:p>
    <w:tbl>
      <w:tblPr>
        <w:tblW w:w="9638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399"/>
        <w:gridCol w:w="1801"/>
        <w:gridCol w:w="1799"/>
        <w:gridCol w:w="1501"/>
        <w:gridCol w:w="2138"/>
      </w:tblGrid>
      <w:tr>
        <w:trPr>
          <w:tblHeader w:val="true"/>
          <w:cantSplit w:val="true"/>
        </w:trPr>
        <w:tc>
          <w:tcPr>
            <w:tcW w:w="23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1B3A4B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H&amp;Y</w:t>
            </w:r>
          </w:p>
        </w:tc>
        <w:tc>
          <w:tcPr>
            <w:tcW w:w="1801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1B3A4B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UPDRS leve</w:t>
            </w:r>
          </w:p>
        </w:tc>
        <w:tc>
          <w:tcPr>
            <w:tcW w:w="17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1B3A4B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Moderado</w:t>
            </w:r>
          </w:p>
        </w:tc>
        <w:tc>
          <w:tcPr>
            <w:tcW w:w="1501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1B3A4B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Grave</w:t>
            </w:r>
          </w:p>
        </w:tc>
        <w:tc>
          <w:tcPr>
            <w:tcW w:w="21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1B3A4B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Total</w:t>
            </w:r>
          </w:p>
        </w:tc>
      </w:tr>
      <w:tr>
        <w:trPr>
          <w:cantSplit w:val="true"/>
        </w:trPr>
        <w:tc>
          <w:tcPr>
            <w:tcW w:w="23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Igual ou inferior a 2</w:t>
            </w:r>
          </w:p>
        </w:tc>
        <w:tc>
          <w:tcPr>
            <w:tcW w:w="1801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37</w:t>
            </w:r>
          </w:p>
        </w:tc>
        <w:tc>
          <w:tcPr>
            <w:tcW w:w="17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20</w:t>
            </w:r>
          </w:p>
        </w:tc>
        <w:tc>
          <w:tcPr>
            <w:tcW w:w="1501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4</w:t>
            </w:r>
          </w:p>
        </w:tc>
        <w:tc>
          <w:tcPr>
            <w:tcW w:w="21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61</w:t>
            </w:r>
          </w:p>
        </w:tc>
      </w:tr>
      <w:tr>
        <w:trPr>
          <w:cantSplit w:val="true"/>
        </w:trPr>
        <w:tc>
          <w:tcPr>
            <w:tcW w:w="23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E7F0E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>Igual a 2,5</w:t>
            </w:r>
          </w:p>
        </w:tc>
        <w:tc>
          <w:tcPr>
            <w:tcW w:w="1801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E7F0E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15</w:t>
            </w:r>
          </w:p>
        </w:tc>
        <w:tc>
          <w:tcPr>
            <w:tcW w:w="17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E7F0E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16</w:t>
            </w:r>
          </w:p>
        </w:tc>
        <w:tc>
          <w:tcPr>
            <w:tcW w:w="1501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E7F0E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8</w:t>
            </w:r>
          </w:p>
        </w:tc>
        <w:tc>
          <w:tcPr>
            <w:tcW w:w="21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E7F0E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39</w:t>
            </w:r>
          </w:p>
        </w:tc>
      </w:tr>
      <w:tr>
        <w:trPr>
          <w:cantSplit w:val="true"/>
        </w:trPr>
        <w:tc>
          <w:tcPr>
            <w:tcW w:w="23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Igual a 3</w:t>
            </w:r>
          </w:p>
        </w:tc>
        <w:tc>
          <w:tcPr>
            <w:tcW w:w="1801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6</w:t>
            </w:r>
          </w:p>
        </w:tc>
        <w:tc>
          <w:tcPr>
            <w:tcW w:w="17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12</w:t>
            </w:r>
          </w:p>
        </w:tc>
        <w:tc>
          <w:tcPr>
            <w:tcW w:w="1501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5</w:t>
            </w:r>
          </w:p>
        </w:tc>
        <w:tc>
          <w:tcPr>
            <w:tcW w:w="21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23</w:t>
            </w:r>
          </w:p>
        </w:tc>
      </w:tr>
      <w:tr>
        <w:trPr>
          <w:cantSplit w:val="true"/>
        </w:trPr>
        <w:tc>
          <w:tcPr>
            <w:tcW w:w="23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4F7F7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Superior a 3</w:t>
            </w:r>
          </w:p>
        </w:tc>
        <w:tc>
          <w:tcPr>
            <w:tcW w:w="1801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4F7F7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0</w:t>
            </w:r>
          </w:p>
        </w:tc>
        <w:tc>
          <w:tcPr>
            <w:tcW w:w="17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4F7F7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6</w:t>
            </w:r>
          </w:p>
        </w:tc>
        <w:tc>
          <w:tcPr>
            <w:tcW w:w="1501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4F7F7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4</w:t>
            </w:r>
          </w:p>
        </w:tc>
        <w:tc>
          <w:tcPr>
            <w:tcW w:w="21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4F7F7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10</w:t>
            </w:r>
          </w:p>
        </w:tc>
      </w:tr>
    </w:tbl>
    <w:p>
      <w:pPr>
        <w:pStyle w:val="Normal"/>
        <w:spacing w:lineRule="exact" w:line="252" w:before="60" w:after="60"/>
        <w:jc w:val="both"/>
        <w:rPr/>
      </w:pPr>
      <w:r>
        <w:rPr>
          <w:rFonts w:eastAsia="Calibri" w:cs="Calibri" w:ascii="Calibri" w:hAnsi="Calibri"/>
          <w:b/>
          <w:bCs/>
          <w:i w:val="false"/>
          <w:iCs w:val="false"/>
          <w:color w:val="1C1C1C"/>
          <w:sz w:val="22"/>
          <w:szCs w:val="22"/>
        </w:rPr>
        <w:t xml:space="preserve">Análise.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>Estágio e exame motor caminham juntos de forma moderada (correlação de Spearman 0,48). Ainda assim, não classificam as mesmas pessoas. Entre 100 pacientes com H&amp;Y abaixo de 3, 52 têm exame leve e 48 já têm exame moderado ou grave. No corte até 2 são 61 pessoas, 37 com exame leve. No estágio 2,5 são 39: 15 leves, 16 moderados e 8 graves. O tempo de doença acompanha pouco o estágio (Spearman 0,33, associação fraca) e pouco a gravidade do exame (Spearman 0,22, associação fraca).</w:t>
      </w:r>
    </w:p>
    <w:p>
      <w:pPr>
        <w:pStyle w:val="Ttulo1"/>
        <w:keepNext w:val="true"/>
        <w:pBdr>
          <w:bottom w:val="single" w:sz="8" w:space="1" w:color="0E6B66"/>
        </w:pBdr>
        <w:spacing w:before="200" w:after="80"/>
        <w:rPr/>
      </w:pPr>
      <w:r>
        <w:rPr>
          <w:rFonts w:eastAsia="Calibri" w:cs="Calibri" w:ascii="Calibri" w:hAnsi="Calibri"/>
          <w:b/>
          <w:bCs/>
          <w:i w:val="false"/>
          <w:iCs w:val="false"/>
          <w:color w:val="1B3A4B"/>
          <w:sz w:val="26"/>
          <w:szCs w:val="26"/>
        </w:rPr>
        <w:t>6. Pacientes com H&amp;Y inferior a 3 e UPDRS III leve</w:t>
      </w:r>
    </w:p>
    <w:p>
      <w:pPr>
        <w:pStyle w:val="Normal"/>
        <w:spacing w:lineRule="exact" w:line="252" w:before="60" w:after="60"/>
        <w:jc w:val="both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Este grupo reúne quem está, ao mesmo tempo, em estágio funcional mais baixo e com exame motor leve: </w:t>
      </w:r>
      <w:r>
        <w:rPr>
          <w:rFonts w:eastAsia="Calibri" w:cs="Calibri" w:ascii="Calibri" w:hAnsi="Calibri"/>
          <w:b/>
          <w:bCs/>
          <w:i w:val="false"/>
          <w:iCs w:val="false"/>
          <w:color w:val="1C1C1C"/>
          <w:sz w:val="22"/>
          <w:szCs w:val="22"/>
        </w:rPr>
        <w:t>52 pacientes (39,1%)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>. É a situação em que as duas medidas clínicas concordam sobre um quadro mais brando. O tempo de doença não entra nessa definição.</w:t>
      </w:r>
    </w:p>
    <w:p>
      <w:pPr>
        <w:pStyle w:val="Normal"/>
        <w:keepNext w:val="false"/>
        <w:keepLines w:val="false"/>
        <w:spacing w:lineRule="exact" w:line="252" w:before="60" w:after="60"/>
        <w:jc w:val="left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5C6568"/>
          <w:sz w:val="18"/>
          <w:szCs w:val="18"/>
        </w:rPr>
        <w:t>Distribuição por estágio, tempo de doença e uso de medicação antiparkinsoniana, dentro deste grupo.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99"/>
        <w:gridCol w:w="339"/>
        <w:gridCol w:w="4800"/>
      </w:tblGrid>
      <w:tr>
        <w:trPr>
          <w:cantSplit w:val="true"/>
        </w:trPr>
        <w:tc>
          <w:tcPr>
            <w:tcW w:w="4499" w:type="dxa"/>
            <w:tcBorders/>
          </w:tcPr>
          <w:tbl>
            <w:tblPr>
              <w:tblW w:w="4500" w:type="dxa"/>
              <w:jc w:val="left"/>
              <w:tblInd w:w="0" w:type="dxa"/>
              <w:tblLayout w:type="fixed"/>
              <w:tblCellMar>
                <w:top w:w="50" w:type="dxa"/>
                <w:left w:w="80" w:type="dxa"/>
                <w:bottom w:w="50" w:type="dxa"/>
                <w:right w:w="80" w:type="dxa"/>
              </w:tblCellMar>
            </w:tblPr>
            <w:tblGrid>
              <w:gridCol w:w="1700"/>
              <w:gridCol w:w="1099"/>
              <w:gridCol w:w="1701"/>
            </w:tblGrid>
            <w:tr>
              <w:trPr>
                <w:tblHeader w:val="true"/>
                <w:cantSplit w:val="true"/>
              </w:trPr>
              <w:tc>
                <w:tcPr>
                  <w:tcW w:w="1700" w:type="dxa"/>
                  <w:tcBorders>
                    <w:top w:val="single" w:sz="4" w:space="0" w:color="D5DDE0"/>
                    <w:left w:val="single" w:sz="4" w:space="0" w:color="D5DDE0"/>
                    <w:bottom w:val="single" w:sz="4" w:space="0" w:color="D5DDE0"/>
                    <w:right w:val="single" w:sz="4" w:space="0" w:color="D5DDE0"/>
                  </w:tcBorders>
                  <w:shd w:fill="1B3A4B" w:val="clear"/>
                  <w:vAlign w:val="center"/>
                </w:tcPr>
                <w:p>
                  <w:pPr>
                    <w:pStyle w:val="Normal"/>
                    <w:widowControl w:val="false"/>
                    <w:spacing w:before="20" w:after="20"/>
                    <w:jc w:val="center"/>
                    <w:rPr/>
                  </w:pPr>
                  <w:r>
                    <w:rPr>
                      <w:rFonts w:eastAsia="Calibri" w:cs="Calibri" w:ascii="Calibri" w:hAnsi="Calibri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>H&amp;Y</w:t>
                  </w:r>
                </w:p>
              </w:tc>
              <w:tc>
                <w:tcPr>
                  <w:tcW w:w="1099" w:type="dxa"/>
                  <w:tcBorders>
                    <w:top w:val="single" w:sz="4" w:space="0" w:color="D5DDE0"/>
                    <w:left w:val="single" w:sz="4" w:space="0" w:color="D5DDE0"/>
                    <w:bottom w:val="single" w:sz="4" w:space="0" w:color="D5DDE0"/>
                    <w:right w:val="single" w:sz="4" w:space="0" w:color="D5DDE0"/>
                  </w:tcBorders>
                  <w:shd w:fill="1B3A4B" w:val="clear"/>
                  <w:vAlign w:val="center"/>
                </w:tcPr>
                <w:p>
                  <w:pPr>
                    <w:pStyle w:val="Normal"/>
                    <w:widowControl w:val="false"/>
                    <w:spacing w:before="20" w:after="20"/>
                    <w:jc w:val="center"/>
                    <w:rPr/>
                  </w:pPr>
                  <w:r>
                    <w:rPr>
                      <w:rFonts w:eastAsia="Calibri" w:cs="Calibri" w:ascii="Calibri" w:hAnsi="Calibri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>N</w:t>
                  </w:r>
                </w:p>
              </w:tc>
              <w:tc>
                <w:tcPr>
                  <w:tcW w:w="1701" w:type="dxa"/>
                  <w:tcBorders>
                    <w:top w:val="single" w:sz="4" w:space="0" w:color="D5DDE0"/>
                    <w:left w:val="single" w:sz="4" w:space="0" w:color="D5DDE0"/>
                    <w:bottom w:val="single" w:sz="4" w:space="0" w:color="D5DDE0"/>
                    <w:right w:val="single" w:sz="4" w:space="0" w:color="D5DDE0"/>
                  </w:tcBorders>
                  <w:shd w:fill="1B3A4B" w:val="clear"/>
                  <w:vAlign w:val="center"/>
                </w:tcPr>
                <w:p>
                  <w:pPr>
                    <w:pStyle w:val="Normal"/>
                    <w:widowControl w:val="false"/>
                    <w:spacing w:before="20" w:after="20"/>
                    <w:jc w:val="center"/>
                    <w:rPr/>
                  </w:pPr>
                  <w:r>
                    <w:rPr>
                      <w:rFonts w:eastAsia="Calibri" w:cs="Calibri" w:ascii="Calibri" w:hAnsi="Calibri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>% do grupo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1700" w:type="dxa"/>
                  <w:tcBorders>
                    <w:top w:val="single" w:sz="4" w:space="0" w:color="D5DDE0"/>
                    <w:left w:val="single" w:sz="4" w:space="0" w:color="D5DDE0"/>
                    <w:bottom w:val="single" w:sz="4" w:space="0" w:color="D5DDE0"/>
                    <w:right w:val="single" w:sz="4" w:space="0" w:color="D5DDE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widowControl w:val="false"/>
                    <w:spacing w:before="20" w:after="20"/>
                    <w:jc w:val="left"/>
                    <w:rPr/>
                  </w:pPr>
                  <w:r>
                    <w:rPr>
                      <w:rFonts w:eastAsia="Calibri" w:cs="Calibri" w:ascii="Calibri" w:hAnsi="Calibri"/>
                      <w:b w:val="false"/>
                      <w:bCs w:val="false"/>
                      <w:i w:val="false"/>
                      <w:iCs w:val="false"/>
                      <w:color w:val="1C1C1C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099" w:type="dxa"/>
                  <w:tcBorders>
                    <w:top w:val="single" w:sz="4" w:space="0" w:color="D5DDE0"/>
                    <w:left w:val="single" w:sz="4" w:space="0" w:color="D5DDE0"/>
                    <w:bottom w:val="single" w:sz="4" w:space="0" w:color="D5DDE0"/>
                    <w:right w:val="single" w:sz="4" w:space="0" w:color="D5DDE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widowControl w:val="false"/>
                    <w:spacing w:before="20" w:after="20"/>
                    <w:jc w:val="center"/>
                    <w:rPr/>
                  </w:pPr>
                  <w:r>
                    <w:rPr>
                      <w:rFonts w:eastAsia="Calibri" w:cs="Calibri" w:ascii="Calibri" w:hAnsi="Calibri"/>
                      <w:b w:val="false"/>
                      <w:bCs w:val="false"/>
                      <w:i w:val="false"/>
                      <w:iCs w:val="false"/>
                      <w:color w:val="1C1C1C"/>
                      <w:sz w:val="20"/>
                      <w:szCs w:val="20"/>
                    </w:rPr>
                    <w:t>12</w:t>
                  </w:r>
                </w:p>
              </w:tc>
              <w:tc>
                <w:tcPr>
                  <w:tcW w:w="1701" w:type="dxa"/>
                  <w:tcBorders>
                    <w:top w:val="single" w:sz="4" w:space="0" w:color="D5DDE0"/>
                    <w:left w:val="single" w:sz="4" w:space="0" w:color="D5DDE0"/>
                    <w:bottom w:val="single" w:sz="4" w:space="0" w:color="D5DDE0"/>
                    <w:right w:val="single" w:sz="4" w:space="0" w:color="D5DDE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widowControl w:val="false"/>
                    <w:spacing w:before="20" w:after="20"/>
                    <w:jc w:val="center"/>
                    <w:rPr/>
                  </w:pPr>
                  <w:r>
                    <w:rPr>
                      <w:rFonts w:eastAsia="Calibri" w:cs="Calibri" w:ascii="Calibri" w:hAnsi="Calibri"/>
                      <w:b w:val="false"/>
                      <w:bCs w:val="false"/>
                      <w:i w:val="false"/>
                      <w:iCs w:val="false"/>
                      <w:color w:val="1C1C1C"/>
                      <w:sz w:val="20"/>
                      <w:szCs w:val="20"/>
                    </w:rPr>
                    <w:t>23,1%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1700" w:type="dxa"/>
                  <w:tcBorders>
                    <w:top w:val="single" w:sz="4" w:space="0" w:color="D5DDE0"/>
                    <w:left w:val="single" w:sz="4" w:space="0" w:color="D5DDE0"/>
                    <w:bottom w:val="single" w:sz="4" w:space="0" w:color="D5DDE0"/>
                    <w:right w:val="single" w:sz="4" w:space="0" w:color="D5DDE0"/>
                  </w:tcBorders>
                  <w:shd w:fill="F4F7F7" w:val="clear"/>
                  <w:vAlign w:val="center"/>
                </w:tcPr>
                <w:p>
                  <w:pPr>
                    <w:pStyle w:val="Normal"/>
                    <w:widowControl w:val="false"/>
                    <w:spacing w:before="20" w:after="20"/>
                    <w:jc w:val="left"/>
                    <w:rPr/>
                  </w:pPr>
                  <w:r>
                    <w:rPr>
                      <w:rFonts w:eastAsia="Calibri" w:cs="Calibri" w:ascii="Calibri" w:hAnsi="Calibri"/>
                      <w:b w:val="false"/>
                      <w:bCs w:val="false"/>
                      <w:i w:val="false"/>
                      <w:iCs w:val="false"/>
                      <w:color w:val="1C1C1C"/>
                      <w:sz w:val="20"/>
                      <w:szCs w:val="20"/>
                    </w:rPr>
                    <w:t>1,5</w:t>
                  </w:r>
                </w:p>
              </w:tc>
              <w:tc>
                <w:tcPr>
                  <w:tcW w:w="1099" w:type="dxa"/>
                  <w:tcBorders>
                    <w:top w:val="single" w:sz="4" w:space="0" w:color="D5DDE0"/>
                    <w:left w:val="single" w:sz="4" w:space="0" w:color="D5DDE0"/>
                    <w:bottom w:val="single" w:sz="4" w:space="0" w:color="D5DDE0"/>
                    <w:right w:val="single" w:sz="4" w:space="0" w:color="D5DDE0"/>
                  </w:tcBorders>
                  <w:shd w:fill="F4F7F7" w:val="clear"/>
                  <w:vAlign w:val="center"/>
                </w:tcPr>
                <w:p>
                  <w:pPr>
                    <w:pStyle w:val="Normal"/>
                    <w:widowControl w:val="false"/>
                    <w:spacing w:before="20" w:after="20"/>
                    <w:jc w:val="center"/>
                    <w:rPr/>
                  </w:pPr>
                  <w:r>
                    <w:rPr>
                      <w:rFonts w:eastAsia="Calibri" w:cs="Calibri" w:ascii="Calibri" w:hAnsi="Calibri"/>
                      <w:b w:val="false"/>
                      <w:bCs w:val="false"/>
                      <w:i w:val="false"/>
                      <w:iCs w:val="false"/>
                      <w:color w:val="1C1C1C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701" w:type="dxa"/>
                  <w:tcBorders>
                    <w:top w:val="single" w:sz="4" w:space="0" w:color="D5DDE0"/>
                    <w:left w:val="single" w:sz="4" w:space="0" w:color="D5DDE0"/>
                    <w:bottom w:val="single" w:sz="4" w:space="0" w:color="D5DDE0"/>
                    <w:right w:val="single" w:sz="4" w:space="0" w:color="D5DDE0"/>
                  </w:tcBorders>
                  <w:shd w:fill="F4F7F7" w:val="clear"/>
                  <w:vAlign w:val="center"/>
                </w:tcPr>
                <w:p>
                  <w:pPr>
                    <w:pStyle w:val="Normal"/>
                    <w:widowControl w:val="false"/>
                    <w:spacing w:before="20" w:after="20"/>
                    <w:jc w:val="center"/>
                    <w:rPr/>
                  </w:pPr>
                  <w:r>
                    <w:rPr>
                      <w:rFonts w:eastAsia="Calibri" w:cs="Calibri" w:ascii="Calibri" w:hAnsi="Calibri"/>
                      <w:b w:val="false"/>
                      <w:bCs w:val="false"/>
                      <w:i w:val="false"/>
                      <w:iCs w:val="false"/>
                      <w:color w:val="1C1C1C"/>
                      <w:sz w:val="20"/>
                      <w:szCs w:val="20"/>
                    </w:rPr>
                    <w:t>9,6%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1700" w:type="dxa"/>
                  <w:tcBorders>
                    <w:top w:val="single" w:sz="4" w:space="0" w:color="D5DDE0"/>
                    <w:left w:val="single" w:sz="4" w:space="0" w:color="D5DDE0"/>
                    <w:bottom w:val="single" w:sz="4" w:space="0" w:color="D5DDE0"/>
                    <w:right w:val="single" w:sz="4" w:space="0" w:color="D5DDE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widowControl w:val="false"/>
                    <w:spacing w:before="20" w:after="20"/>
                    <w:jc w:val="left"/>
                    <w:rPr/>
                  </w:pPr>
                  <w:r>
                    <w:rPr>
                      <w:rFonts w:eastAsia="Calibri" w:cs="Calibri" w:ascii="Calibri" w:hAnsi="Calibri"/>
                      <w:b w:val="false"/>
                      <w:bCs w:val="false"/>
                      <w:i w:val="false"/>
                      <w:iCs w:val="false"/>
                      <w:color w:val="1C1C1C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099" w:type="dxa"/>
                  <w:tcBorders>
                    <w:top w:val="single" w:sz="4" w:space="0" w:color="D5DDE0"/>
                    <w:left w:val="single" w:sz="4" w:space="0" w:color="D5DDE0"/>
                    <w:bottom w:val="single" w:sz="4" w:space="0" w:color="D5DDE0"/>
                    <w:right w:val="single" w:sz="4" w:space="0" w:color="D5DDE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widowControl w:val="false"/>
                    <w:spacing w:before="20" w:after="20"/>
                    <w:jc w:val="center"/>
                    <w:rPr/>
                  </w:pPr>
                  <w:r>
                    <w:rPr>
                      <w:rFonts w:eastAsia="Calibri" w:cs="Calibri" w:ascii="Calibri" w:hAnsi="Calibri"/>
                      <w:b w:val="false"/>
                      <w:bCs w:val="false"/>
                      <w:i w:val="false"/>
                      <w:iCs w:val="false"/>
                      <w:color w:val="1C1C1C"/>
                      <w:sz w:val="20"/>
                      <w:szCs w:val="20"/>
                    </w:rPr>
                    <w:t>20</w:t>
                  </w:r>
                </w:p>
              </w:tc>
              <w:tc>
                <w:tcPr>
                  <w:tcW w:w="1701" w:type="dxa"/>
                  <w:tcBorders>
                    <w:top w:val="single" w:sz="4" w:space="0" w:color="D5DDE0"/>
                    <w:left w:val="single" w:sz="4" w:space="0" w:color="D5DDE0"/>
                    <w:bottom w:val="single" w:sz="4" w:space="0" w:color="D5DDE0"/>
                    <w:right w:val="single" w:sz="4" w:space="0" w:color="D5DDE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widowControl w:val="false"/>
                    <w:spacing w:before="20" w:after="20"/>
                    <w:jc w:val="center"/>
                    <w:rPr/>
                  </w:pPr>
                  <w:r>
                    <w:rPr>
                      <w:rFonts w:eastAsia="Calibri" w:cs="Calibri" w:ascii="Calibri" w:hAnsi="Calibri"/>
                      <w:b w:val="false"/>
                      <w:bCs w:val="false"/>
                      <w:i w:val="false"/>
                      <w:iCs w:val="false"/>
                      <w:color w:val="1C1C1C"/>
                      <w:sz w:val="20"/>
                      <w:szCs w:val="20"/>
                    </w:rPr>
                    <w:t>38,5%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1700" w:type="dxa"/>
                  <w:tcBorders>
                    <w:top w:val="single" w:sz="4" w:space="0" w:color="D5DDE0"/>
                    <w:left w:val="single" w:sz="4" w:space="0" w:color="D5DDE0"/>
                    <w:bottom w:val="single" w:sz="4" w:space="0" w:color="D5DDE0"/>
                    <w:right w:val="single" w:sz="4" w:space="0" w:color="D5DDE0"/>
                  </w:tcBorders>
                  <w:shd w:fill="F4F7F7" w:val="clear"/>
                  <w:vAlign w:val="center"/>
                </w:tcPr>
                <w:p>
                  <w:pPr>
                    <w:pStyle w:val="Normal"/>
                    <w:widowControl w:val="false"/>
                    <w:spacing w:before="20" w:after="20"/>
                    <w:jc w:val="left"/>
                    <w:rPr/>
                  </w:pPr>
                  <w:r>
                    <w:rPr>
                      <w:rFonts w:eastAsia="Calibri" w:cs="Calibri" w:ascii="Calibri" w:hAnsi="Calibri"/>
                      <w:b w:val="false"/>
                      <w:bCs w:val="false"/>
                      <w:i w:val="false"/>
                      <w:iCs w:val="false"/>
                      <w:color w:val="1C1C1C"/>
                      <w:sz w:val="20"/>
                      <w:szCs w:val="20"/>
                    </w:rPr>
                    <w:t>2,5</w:t>
                  </w:r>
                </w:p>
              </w:tc>
              <w:tc>
                <w:tcPr>
                  <w:tcW w:w="1099" w:type="dxa"/>
                  <w:tcBorders>
                    <w:top w:val="single" w:sz="4" w:space="0" w:color="D5DDE0"/>
                    <w:left w:val="single" w:sz="4" w:space="0" w:color="D5DDE0"/>
                    <w:bottom w:val="single" w:sz="4" w:space="0" w:color="D5DDE0"/>
                    <w:right w:val="single" w:sz="4" w:space="0" w:color="D5DDE0"/>
                  </w:tcBorders>
                  <w:shd w:fill="F4F7F7" w:val="clear"/>
                  <w:vAlign w:val="center"/>
                </w:tcPr>
                <w:p>
                  <w:pPr>
                    <w:pStyle w:val="Normal"/>
                    <w:widowControl w:val="false"/>
                    <w:spacing w:before="20" w:after="20"/>
                    <w:jc w:val="center"/>
                    <w:rPr/>
                  </w:pPr>
                  <w:r>
                    <w:rPr>
                      <w:rFonts w:eastAsia="Calibri" w:cs="Calibri" w:ascii="Calibri" w:hAnsi="Calibri"/>
                      <w:b w:val="false"/>
                      <w:bCs w:val="false"/>
                      <w:i w:val="false"/>
                      <w:iCs w:val="false"/>
                      <w:color w:val="1C1C1C"/>
                      <w:sz w:val="20"/>
                      <w:szCs w:val="20"/>
                    </w:rPr>
                    <w:t>15</w:t>
                  </w:r>
                </w:p>
              </w:tc>
              <w:tc>
                <w:tcPr>
                  <w:tcW w:w="1701" w:type="dxa"/>
                  <w:tcBorders>
                    <w:top w:val="single" w:sz="4" w:space="0" w:color="D5DDE0"/>
                    <w:left w:val="single" w:sz="4" w:space="0" w:color="D5DDE0"/>
                    <w:bottom w:val="single" w:sz="4" w:space="0" w:color="D5DDE0"/>
                    <w:right w:val="single" w:sz="4" w:space="0" w:color="D5DDE0"/>
                  </w:tcBorders>
                  <w:shd w:fill="F4F7F7" w:val="clear"/>
                  <w:vAlign w:val="center"/>
                </w:tcPr>
                <w:p>
                  <w:pPr>
                    <w:pStyle w:val="Normal"/>
                    <w:widowControl w:val="false"/>
                    <w:spacing w:before="20" w:after="20"/>
                    <w:jc w:val="center"/>
                    <w:rPr/>
                  </w:pPr>
                  <w:r>
                    <w:rPr>
                      <w:rFonts w:eastAsia="Calibri" w:cs="Calibri" w:ascii="Calibri" w:hAnsi="Calibri"/>
                      <w:b w:val="false"/>
                      <w:bCs w:val="false"/>
                      <w:i w:val="false"/>
                      <w:iCs w:val="false"/>
                      <w:color w:val="1C1C1C"/>
                      <w:sz w:val="20"/>
                      <w:szCs w:val="20"/>
                    </w:rPr>
                    <w:t>28,8%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339" w:type="dxa"/>
            <w:tcBorders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</w:r>
          </w:p>
        </w:tc>
        <w:tc>
          <w:tcPr>
            <w:tcW w:w="4800" w:type="dxa"/>
            <w:tcBorders/>
          </w:tcPr>
          <w:tbl>
            <w:tblPr>
              <w:tblW w:w="4800" w:type="dxa"/>
              <w:jc w:val="left"/>
              <w:tblInd w:w="0" w:type="dxa"/>
              <w:tblLayout w:type="fixed"/>
              <w:tblCellMar>
                <w:top w:w="50" w:type="dxa"/>
                <w:left w:w="80" w:type="dxa"/>
                <w:bottom w:w="50" w:type="dxa"/>
                <w:right w:w="80" w:type="dxa"/>
              </w:tblCellMar>
            </w:tblPr>
            <w:tblGrid>
              <w:gridCol w:w="2000"/>
              <w:gridCol w:w="1099"/>
              <w:gridCol w:w="1701"/>
            </w:tblGrid>
            <w:tr>
              <w:trPr>
                <w:tblHeader w:val="true"/>
                <w:cantSplit w:val="true"/>
              </w:trPr>
              <w:tc>
                <w:tcPr>
                  <w:tcW w:w="2000" w:type="dxa"/>
                  <w:tcBorders>
                    <w:top w:val="single" w:sz="4" w:space="0" w:color="D5DDE0"/>
                    <w:left w:val="single" w:sz="4" w:space="0" w:color="D5DDE0"/>
                    <w:bottom w:val="single" w:sz="4" w:space="0" w:color="D5DDE0"/>
                    <w:right w:val="single" w:sz="4" w:space="0" w:color="D5DDE0"/>
                  </w:tcBorders>
                  <w:shd w:fill="1B3A4B" w:val="clear"/>
                  <w:vAlign w:val="center"/>
                </w:tcPr>
                <w:p>
                  <w:pPr>
                    <w:pStyle w:val="Normal"/>
                    <w:widowControl w:val="false"/>
                    <w:spacing w:before="20" w:after="20"/>
                    <w:jc w:val="center"/>
                    <w:rPr/>
                  </w:pPr>
                  <w:r>
                    <w:rPr>
                      <w:rFonts w:eastAsia="Calibri" w:cs="Calibri" w:ascii="Calibri" w:hAnsi="Calibri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>Medicação</w:t>
                  </w:r>
                </w:p>
              </w:tc>
              <w:tc>
                <w:tcPr>
                  <w:tcW w:w="1099" w:type="dxa"/>
                  <w:tcBorders>
                    <w:top w:val="single" w:sz="4" w:space="0" w:color="D5DDE0"/>
                    <w:left w:val="single" w:sz="4" w:space="0" w:color="D5DDE0"/>
                    <w:bottom w:val="single" w:sz="4" w:space="0" w:color="D5DDE0"/>
                    <w:right w:val="single" w:sz="4" w:space="0" w:color="D5DDE0"/>
                  </w:tcBorders>
                  <w:shd w:fill="1B3A4B" w:val="clear"/>
                  <w:vAlign w:val="center"/>
                </w:tcPr>
                <w:p>
                  <w:pPr>
                    <w:pStyle w:val="Normal"/>
                    <w:widowControl w:val="false"/>
                    <w:spacing w:before="20" w:after="20"/>
                    <w:jc w:val="center"/>
                    <w:rPr/>
                  </w:pPr>
                  <w:r>
                    <w:rPr>
                      <w:rFonts w:eastAsia="Calibri" w:cs="Calibri" w:ascii="Calibri" w:hAnsi="Calibri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>N</w:t>
                  </w:r>
                </w:p>
              </w:tc>
              <w:tc>
                <w:tcPr>
                  <w:tcW w:w="1701" w:type="dxa"/>
                  <w:tcBorders>
                    <w:top w:val="single" w:sz="4" w:space="0" w:color="D5DDE0"/>
                    <w:left w:val="single" w:sz="4" w:space="0" w:color="D5DDE0"/>
                    <w:bottom w:val="single" w:sz="4" w:space="0" w:color="D5DDE0"/>
                    <w:right w:val="single" w:sz="4" w:space="0" w:color="D5DDE0"/>
                  </w:tcBorders>
                  <w:shd w:fill="1B3A4B" w:val="clear"/>
                  <w:vAlign w:val="center"/>
                </w:tcPr>
                <w:p>
                  <w:pPr>
                    <w:pStyle w:val="Normal"/>
                    <w:widowControl w:val="false"/>
                    <w:spacing w:before="20" w:after="20"/>
                    <w:jc w:val="center"/>
                    <w:rPr/>
                  </w:pPr>
                  <w:r>
                    <w:rPr>
                      <w:rFonts w:eastAsia="Calibri" w:cs="Calibri" w:ascii="Calibri" w:hAnsi="Calibri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>% do grupo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2000" w:type="dxa"/>
                  <w:tcBorders>
                    <w:top w:val="single" w:sz="4" w:space="0" w:color="D5DDE0"/>
                    <w:left w:val="single" w:sz="4" w:space="0" w:color="D5DDE0"/>
                    <w:bottom w:val="single" w:sz="4" w:space="0" w:color="D5DDE0"/>
                    <w:right w:val="single" w:sz="4" w:space="0" w:color="D5DDE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widowControl w:val="false"/>
                    <w:spacing w:before="20" w:after="20"/>
                    <w:jc w:val="left"/>
                    <w:rPr/>
                  </w:pPr>
                  <w:r>
                    <w:rPr>
                      <w:rFonts w:eastAsia="Calibri" w:cs="Calibri" w:ascii="Calibri" w:hAnsi="Calibri"/>
                      <w:b w:val="false"/>
                      <w:bCs w:val="false"/>
                      <w:i w:val="false"/>
                      <w:iCs w:val="false"/>
                      <w:color w:val="1C1C1C"/>
                      <w:sz w:val="20"/>
                      <w:szCs w:val="20"/>
                    </w:rPr>
                    <w:t>Em uso</w:t>
                  </w:r>
                </w:p>
              </w:tc>
              <w:tc>
                <w:tcPr>
                  <w:tcW w:w="1099" w:type="dxa"/>
                  <w:tcBorders>
                    <w:top w:val="single" w:sz="4" w:space="0" w:color="D5DDE0"/>
                    <w:left w:val="single" w:sz="4" w:space="0" w:color="D5DDE0"/>
                    <w:bottom w:val="single" w:sz="4" w:space="0" w:color="D5DDE0"/>
                    <w:right w:val="single" w:sz="4" w:space="0" w:color="D5DDE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widowControl w:val="false"/>
                    <w:spacing w:before="20" w:after="20"/>
                    <w:jc w:val="center"/>
                    <w:rPr/>
                  </w:pPr>
                  <w:r>
                    <w:rPr>
                      <w:rFonts w:eastAsia="Calibri" w:cs="Calibri" w:ascii="Calibri" w:hAnsi="Calibri"/>
                      <w:b w:val="false"/>
                      <w:bCs w:val="false"/>
                      <w:i w:val="false"/>
                      <w:iCs w:val="false"/>
                      <w:color w:val="1C1C1C"/>
                      <w:sz w:val="20"/>
                      <w:szCs w:val="20"/>
                    </w:rPr>
                    <w:t>50</w:t>
                  </w:r>
                </w:p>
              </w:tc>
              <w:tc>
                <w:tcPr>
                  <w:tcW w:w="1701" w:type="dxa"/>
                  <w:tcBorders>
                    <w:top w:val="single" w:sz="4" w:space="0" w:color="D5DDE0"/>
                    <w:left w:val="single" w:sz="4" w:space="0" w:color="D5DDE0"/>
                    <w:bottom w:val="single" w:sz="4" w:space="0" w:color="D5DDE0"/>
                    <w:right w:val="single" w:sz="4" w:space="0" w:color="D5DDE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widowControl w:val="false"/>
                    <w:spacing w:before="20" w:after="20"/>
                    <w:jc w:val="center"/>
                    <w:rPr/>
                  </w:pPr>
                  <w:r>
                    <w:rPr>
                      <w:rFonts w:eastAsia="Calibri" w:cs="Calibri" w:ascii="Calibri" w:hAnsi="Calibri"/>
                      <w:b w:val="false"/>
                      <w:bCs w:val="false"/>
                      <w:i w:val="false"/>
                      <w:iCs w:val="false"/>
                      <w:color w:val="1C1C1C"/>
                      <w:sz w:val="20"/>
                      <w:szCs w:val="20"/>
                    </w:rPr>
                    <w:t>96,2%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2000" w:type="dxa"/>
                  <w:tcBorders>
                    <w:top w:val="single" w:sz="4" w:space="0" w:color="D5DDE0"/>
                    <w:left w:val="single" w:sz="4" w:space="0" w:color="D5DDE0"/>
                    <w:bottom w:val="single" w:sz="4" w:space="0" w:color="D5DDE0"/>
                    <w:right w:val="single" w:sz="4" w:space="0" w:color="D5DDE0"/>
                  </w:tcBorders>
                  <w:shd w:fill="F4F7F7" w:val="clear"/>
                  <w:vAlign w:val="center"/>
                </w:tcPr>
                <w:p>
                  <w:pPr>
                    <w:pStyle w:val="Normal"/>
                    <w:widowControl w:val="false"/>
                    <w:spacing w:before="20" w:after="20"/>
                    <w:jc w:val="left"/>
                    <w:rPr/>
                  </w:pPr>
                  <w:r>
                    <w:rPr>
                      <w:rFonts w:eastAsia="Calibri" w:cs="Calibri" w:ascii="Calibri" w:hAnsi="Calibri"/>
                      <w:b w:val="false"/>
                      <w:bCs w:val="false"/>
                      <w:i w:val="false"/>
                      <w:iCs w:val="false"/>
                      <w:color w:val="1C1C1C"/>
                      <w:sz w:val="20"/>
                      <w:szCs w:val="20"/>
                    </w:rPr>
                    <w:t>Sem uso</w:t>
                  </w:r>
                </w:p>
              </w:tc>
              <w:tc>
                <w:tcPr>
                  <w:tcW w:w="1099" w:type="dxa"/>
                  <w:tcBorders>
                    <w:top w:val="single" w:sz="4" w:space="0" w:color="D5DDE0"/>
                    <w:left w:val="single" w:sz="4" w:space="0" w:color="D5DDE0"/>
                    <w:bottom w:val="single" w:sz="4" w:space="0" w:color="D5DDE0"/>
                    <w:right w:val="single" w:sz="4" w:space="0" w:color="D5DDE0"/>
                  </w:tcBorders>
                  <w:shd w:fill="F4F7F7" w:val="clear"/>
                  <w:vAlign w:val="center"/>
                </w:tcPr>
                <w:p>
                  <w:pPr>
                    <w:pStyle w:val="Normal"/>
                    <w:widowControl w:val="false"/>
                    <w:spacing w:before="20" w:after="20"/>
                    <w:jc w:val="center"/>
                    <w:rPr/>
                  </w:pPr>
                  <w:r>
                    <w:rPr>
                      <w:rFonts w:eastAsia="Calibri" w:cs="Calibri" w:ascii="Calibri" w:hAnsi="Calibri"/>
                      <w:b w:val="false"/>
                      <w:bCs w:val="false"/>
                      <w:i w:val="false"/>
                      <w:iCs w:val="false"/>
                      <w:color w:val="1C1C1C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701" w:type="dxa"/>
                  <w:tcBorders>
                    <w:top w:val="single" w:sz="4" w:space="0" w:color="D5DDE0"/>
                    <w:left w:val="single" w:sz="4" w:space="0" w:color="D5DDE0"/>
                    <w:bottom w:val="single" w:sz="4" w:space="0" w:color="D5DDE0"/>
                    <w:right w:val="single" w:sz="4" w:space="0" w:color="D5DDE0"/>
                  </w:tcBorders>
                  <w:shd w:fill="F4F7F7" w:val="clear"/>
                  <w:vAlign w:val="center"/>
                </w:tcPr>
                <w:p>
                  <w:pPr>
                    <w:pStyle w:val="Normal"/>
                    <w:widowControl w:val="false"/>
                    <w:spacing w:before="20" w:after="20"/>
                    <w:jc w:val="center"/>
                    <w:rPr/>
                  </w:pPr>
                  <w:r>
                    <w:rPr>
                      <w:rFonts w:eastAsia="Calibri" w:cs="Calibri" w:ascii="Calibri" w:hAnsi="Calibri"/>
                      <w:b w:val="false"/>
                      <w:bCs w:val="false"/>
                      <w:i w:val="false"/>
                      <w:iCs w:val="false"/>
                      <w:color w:val="1C1C1C"/>
                      <w:sz w:val="20"/>
                      <w:szCs w:val="20"/>
                    </w:rPr>
                    <w:t>3,8%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keepNext w:val="false"/>
        <w:keepLines w:val="false"/>
        <w:spacing w:lineRule="exact" w:line="252" w:before="80" w:after="40"/>
        <w:jc w:val="both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3599"/>
        <w:gridCol w:w="1401"/>
        <w:gridCol w:w="4638"/>
      </w:tblGrid>
      <w:tr>
        <w:trPr>
          <w:tblHeader w:val="true"/>
          <w:cantSplit w:val="true"/>
        </w:trPr>
        <w:tc>
          <w:tcPr>
            <w:tcW w:w="35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1B3A4B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Tempo de doença</w:t>
            </w:r>
          </w:p>
        </w:tc>
        <w:tc>
          <w:tcPr>
            <w:tcW w:w="1401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1B3A4B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N</w:t>
            </w:r>
          </w:p>
        </w:tc>
        <w:tc>
          <w:tcPr>
            <w:tcW w:w="46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1B3A4B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% do grupo</w:t>
            </w:r>
          </w:p>
        </w:tc>
      </w:tr>
      <w:tr>
        <w:trPr>
          <w:cantSplit w:val="true"/>
        </w:trPr>
        <w:tc>
          <w:tcPr>
            <w:tcW w:w="35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Menos de 5 anos</w:t>
            </w:r>
          </w:p>
        </w:tc>
        <w:tc>
          <w:tcPr>
            <w:tcW w:w="1401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19</w:t>
            </w:r>
          </w:p>
        </w:tc>
        <w:tc>
          <w:tcPr>
            <w:tcW w:w="46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36,5%</w:t>
            </w:r>
          </w:p>
        </w:tc>
      </w:tr>
      <w:tr>
        <w:trPr>
          <w:cantSplit w:val="true"/>
        </w:trPr>
        <w:tc>
          <w:tcPr>
            <w:tcW w:w="35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4F7F7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5 a 10 anos</w:t>
            </w:r>
          </w:p>
        </w:tc>
        <w:tc>
          <w:tcPr>
            <w:tcW w:w="1401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4F7F7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27</w:t>
            </w:r>
          </w:p>
        </w:tc>
        <w:tc>
          <w:tcPr>
            <w:tcW w:w="46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4F7F7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51,9%</w:t>
            </w:r>
          </w:p>
        </w:tc>
      </w:tr>
      <w:tr>
        <w:trPr>
          <w:cantSplit w:val="true"/>
        </w:trPr>
        <w:tc>
          <w:tcPr>
            <w:tcW w:w="35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Mais de 10 anos</w:t>
            </w:r>
          </w:p>
        </w:tc>
        <w:tc>
          <w:tcPr>
            <w:tcW w:w="1401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6</w:t>
            </w:r>
          </w:p>
        </w:tc>
        <w:tc>
          <w:tcPr>
            <w:tcW w:w="46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11,5%</w:t>
            </w:r>
          </w:p>
        </w:tc>
      </w:tr>
    </w:tbl>
    <w:p>
      <w:pPr>
        <w:pStyle w:val="Normal"/>
        <w:spacing w:lineRule="exact" w:line="252" w:before="60" w:after="60"/>
        <w:jc w:val="both"/>
        <w:rPr/>
      </w:pPr>
      <w:r>
        <w:rPr>
          <w:rFonts w:eastAsia="Calibri" w:cs="Calibri" w:ascii="Calibri" w:hAnsi="Calibri"/>
          <w:b/>
          <w:bCs/>
          <w:i w:val="false"/>
          <w:iCs w:val="false"/>
          <w:color w:val="1C1C1C"/>
          <w:sz w:val="22"/>
          <w:szCs w:val="22"/>
        </w:rPr>
        <w:t xml:space="preserve">Análise.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>Dos 52 pacientes deste grupo, 19 também têm menos de 5 anos de sintomas. Os outros 33 têm 5 anos ou mais e ficariam de fora se o estágio inicial fosse definido só pelo tempo. 2 não usam medicação antiparkinsoniana. Para a discussão clínica, este grupo descreve doença ainda branda no estágio e no exame, independentemente de há quanto tempo os sintomas começaram. Se o estágio exigir H&amp;Y igual ou inferior a 2, saem as 15 pessoas que estão no 2,5 com exame leve, e o grupo passa a 37 pacientes (27,8%).</w:t>
      </w:r>
    </w:p>
    <w:p>
      <w:pPr>
        <w:pStyle w:val="Normal"/>
        <w:keepNext w:val="false"/>
        <w:keepLines w:val="false"/>
        <w:spacing w:lineRule="exact" w:line="252" w:before="60" w:after="60"/>
        <w:jc w:val="left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5C6568"/>
          <w:sz w:val="18"/>
          <w:szCs w:val="18"/>
        </w:rPr>
        <w:t>Pacientes deste grupo que não usam medicação antiparkinsoniana.</w:t>
      </w:r>
    </w:p>
    <w:tbl>
      <w:tblPr>
        <w:tblW w:w="9638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300"/>
        <w:gridCol w:w="1700"/>
        <w:gridCol w:w="999"/>
        <w:gridCol w:w="1401"/>
        <w:gridCol w:w="4238"/>
      </w:tblGrid>
      <w:tr>
        <w:trPr>
          <w:tblHeader w:val="true"/>
          <w:cantSplit w:val="true"/>
        </w:trPr>
        <w:tc>
          <w:tcPr>
            <w:tcW w:w="1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1B3A4B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Paciente</w:t>
            </w:r>
          </w:p>
        </w:tc>
        <w:tc>
          <w:tcPr>
            <w:tcW w:w="1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1B3A4B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Duração (anos)</w:t>
            </w:r>
          </w:p>
        </w:tc>
        <w:tc>
          <w:tcPr>
            <w:tcW w:w="9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1B3A4B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H&amp;Y</w:t>
            </w:r>
          </w:p>
        </w:tc>
        <w:tc>
          <w:tcPr>
            <w:tcW w:w="1401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1B3A4B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UPDRS III</w:t>
            </w:r>
          </w:p>
        </w:tc>
        <w:tc>
          <w:tcPr>
            <w:tcW w:w="42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1B3A4B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Observação</w:t>
            </w:r>
          </w:p>
        </w:tc>
      </w:tr>
      <w:tr>
        <w:trPr>
          <w:cantSplit w:val="true"/>
        </w:trPr>
        <w:tc>
          <w:tcPr>
            <w:tcW w:w="1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E7F0E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>P118</w:t>
            </w:r>
          </w:p>
        </w:tc>
        <w:tc>
          <w:tcPr>
            <w:tcW w:w="1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E7F0E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5</w:t>
            </w:r>
          </w:p>
        </w:tc>
        <w:tc>
          <w:tcPr>
            <w:tcW w:w="9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E7F0E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2</w:t>
            </w:r>
          </w:p>
        </w:tc>
        <w:tc>
          <w:tcPr>
            <w:tcW w:w="1401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E7F0E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4</w:t>
            </w:r>
          </w:p>
        </w:tc>
        <w:tc>
          <w:tcPr>
            <w:tcW w:w="42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E7F0E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Exemplo de doença branda após 5 anos</w:t>
            </w:r>
          </w:p>
        </w:tc>
      </w:tr>
      <w:tr>
        <w:trPr>
          <w:cantSplit w:val="true"/>
        </w:trPr>
        <w:tc>
          <w:tcPr>
            <w:tcW w:w="13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E7F0E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>P091</w:t>
            </w:r>
          </w:p>
        </w:tc>
        <w:tc>
          <w:tcPr>
            <w:tcW w:w="17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E7F0E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6</w:t>
            </w:r>
          </w:p>
        </w:tc>
        <w:tc>
          <w:tcPr>
            <w:tcW w:w="9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E7F0E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2</w:t>
            </w:r>
          </w:p>
        </w:tc>
        <w:tc>
          <w:tcPr>
            <w:tcW w:w="1401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E7F0E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11</w:t>
            </w:r>
          </w:p>
        </w:tc>
        <w:tc>
          <w:tcPr>
            <w:tcW w:w="42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E7F0E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Exemplo de doença branda após 5 anos</w:t>
            </w:r>
          </w:p>
        </w:tc>
      </w:tr>
    </w:tbl>
    <w:p>
      <w:pPr>
        <w:pStyle w:val="Ttulo1"/>
        <w:keepNext w:val="true"/>
        <w:pBdr>
          <w:bottom w:val="single" w:sz="8" w:space="1" w:color="0E6B66"/>
        </w:pBdr>
        <w:spacing w:before="200" w:after="80"/>
        <w:rPr/>
      </w:pPr>
      <w:r>
        <w:rPr>
          <w:rFonts w:eastAsia="Calibri" w:cs="Calibri" w:ascii="Calibri" w:hAnsi="Calibri"/>
          <w:b/>
          <w:bCs/>
          <w:i w:val="false"/>
          <w:iCs w:val="false"/>
          <w:color w:val="1B3A4B"/>
          <w:sz w:val="26"/>
          <w:szCs w:val="26"/>
        </w:rPr>
        <w:t>7. Limitação do corte de cinco anos</w:t>
      </w:r>
    </w:p>
    <w:p>
      <w:pPr>
        <w:pStyle w:val="Normal"/>
        <w:keepNext w:val="false"/>
        <w:keepLines w:val="false"/>
        <w:spacing w:lineRule="exact" w:line="252" w:before="60" w:after="60"/>
        <w:jc w:val="both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>O tempo de doença se relaciona pouco com a gravidade vista no exame. Há pacientes com muitos anos de sintomas que seguem com H&amp;Y baixo e exame leve, e pacientes com poucos anos que já apresentam comprometimento motor maior.</w:t>
      </w:r>
    </w:p>
    <w:tbl>
      <w:tblPr>
        <w:tblW w:w="9638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399"/>
        <w:gridCol w:w="1901"/>
        <w:gridCol w:w="1900"/>
        <w:gridCol w:w="1499"/>
        <w:gridCol w:w="1939"/>
      </w:tblGrid>
      <w:tr>
        <w:trPr>
          <w:tblHeader w:val="true"/>
          <w:cantSplit w:val="true"/>
        </w:trPr>
        <w:tc>
          <w:tcPr>
            <w:tcW w:w="23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1B3A4B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Duração</w:t>
            </w:r>
          </w:p>
        </w:tc>
        <w:tc>
          <w:tcPr>
            <w:tcW w:w="1901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1B3A4B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UPDRS leve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1B3A4B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Moderado</w:t>
            </w:r>
          </w:p>
        </w:tc>
        <w:tc>
          <w:tcPr>
            <w:tcW w:w="14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1B3A4B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Grave</w:t>
            </w:r>
          </w:p>
        </w:tc>
        <w:tc>
          <w:tcPr>
            <w:tcW w:w="193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1B3A4B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Total</w:t>
            </w:r>
          </w:p>
        </w:tc>
      </w:tr>
      <w:tr>
        <w:trPr>
          <w:cantSplit w:val="true"/>
        </w:trPr>
        <w:tc>
          <w:tcPr>
            <w:tcW w:w="23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Menos de 5 anos</w:t>
            </w:r>
          </w:p>
        </w:tc>
        <w:tc>
          <w:tcPr>
            <w:tcW w:w="1901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20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6</w:t>
            </w:r>
          </w:p>
        </w:tc>
        <w:tc>
          <w:tcPr>
            <w:tcW w:w="14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4</w:t>
            </w:r>
          </w:p>
        </w:tc>
        <w:tc>
          <w:tcPr>
            <w:tcW w:w="193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30</w:t>
            </w:r>
          </w:p>
        </w:tc>
      </w:tr>
      <w:tr>
        <w:trPr>
          <w:cantSplit w:val="true"/>
        </w:trPr>
        <w:tc>
          <w:tcPr>
            <w:tcW w:w="23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4F7F7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5 a 10 anos</w:t>
            </w:r>
          </w:p>
        </w:tc>
        <w:tc>
          <w:tcPr>
            <w:tcW w:w="1901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4F7F7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30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4F7F7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22</w:t>
            </w:r>
          </w:p>
        </w:tc>
        <w:tc>
          <w:tcPr>
            <w:tcW w:w="14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4F7F7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12</w:t>
            </w:r>
          </w:p>
        </w:tc>
        <w:tc>
          <w:tcPr>
            <w:tcW w:w="193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4F7F7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64</w:t>
            </w:r>
          </w:p>
        </w:tc>
      </w:tr>
      <w:tr>
        <w:trPr>
          <w:cantSplit w:val="true"/>
        </w:trPr>
        <w:tc>
          <w:tcPr>
            <w:tcW w:w="23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Mais de 10 anos</w:t>
            </w:r>
          </w:p>
        </w:tc>
        <w:tc>
          <w:tcPr>
            <w:tcW w:w="1901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8</w:t>
            </w:r>
          </w:p>
        </w:tc>
        <w:tc>
          <w:tcPr>
            <w:tcW w:w="19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26</w:t>
            </w:r>
          </w:p>
        </w:tc>
        <w:tc>
          <w:tcPr>
            <w:tcW w:w="14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5</w:t>
            </w:r>
          </w:p>
        </w:tc>
        <w:tc>
          <w:tcPr>
            <w:tcW w:w="193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39</w:t>
            </w:r>
          </w:p>
        </w:tc>
      </w:tr>
    </w:tbl>
    <w:p>
      <w:pPr>
        <w:pStyle w:val="Normal"/>
        <w:keepNext w:val="false"/>
        <w:keepLines w:val="false"/>
        <w:spacing w:lineRule="exact" w:line="252" w:before="60" w:after="60"/>
        <w:jc w:val="both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>Dois pacientes ilustram o limite de uma regra rígida de menos de 5 anos. Os dois estão em H&amp;Y 2, com exame motor leve, e não usam medicação antiparkinsoniana. Pela avaliação clínica, seguem como doença precoce. Uma regra só de tempo os deixaria de fora.</w:t>
      </w:r>
    </w:p>
    <w:tbl>
      <w:tblPr>
        <w:tblW w:w="9638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599"/>
        <w:gridCol w:w="1600"/>
        <w:gridCol w:w="1401"/>
        <w:gridCol w:w="1600"/>
        <w:gridCol w:w="3438"/>
      </w:tblGrid>
      <w:tr>
        <w:trPr>
          <w:tblHeader w:val="true"/>
          <w:cantSplit w:val="true"/>
        </w:trPr>
        <w:tc>
          <w:tcPr>
            <w:tcW w:w="15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1B3A4B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Paciente</w:t>
            </w:r>
          </w:p>
        </w:tc>
        <w:tc>
          <w:tcPr>
            <w:tcW w:w="16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1B3A4B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Duração</w:t>
            </w:r>
          </w:p>
        </w:tc>
        <w:tc>
          <w:tcPr>
            <w:tcW w:w="1401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1B3A4B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H&amp;Y</w:t>
            </w:r>
          </w:p>
        </w:tc>
        <w:tc>
          <w:tcPr>
            <w:tcW w:w="16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1B3A4B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UPDRS III</w:t>
            </w:r>
          </w:p>
        </w:tc>
        <w:tc>
          <w:tcPr>
            <w:tcW w:w="34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1B3A4B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Medicação</w:t>
            </w:r>
          </w:p>
        </w:tc>
      </w:tr>
      <w:tr>
        <w:trPr>
          <w:cantSplit w:val="true"/>
        </w:trPr>
        <w:tc>
          <w:tcPr>
            <w:tcW w:w="15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P091</w:t>
            </w:r>
          </w:p>
        </w:tc>
        <w:tc>
          <w:tcPr>
            <w:tcW w:w="16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6 anos</w:t>
            </w:r>
          </w:p>
        </w:tc>
        <w:tc>
          <w:tcPr>
            <w:tcW w:w="1401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11</w:t>
            </w:r>
          </w:p>
        </w:tc>
        <w:tc>
          <w:tcPr>
            <w:tcW w:w="34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Não</w:t>
            </w:r>
          </w:p>
        </w:tc>
      </w:tr>
      <w:tr>
        <w:trPr>
          <w:cantSplit w:val="true"/>
        </w:trPr>
        <w:tc>
          <w:tcPr>
            <w:tcW w:w="15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4F7F7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P118</w:t>
            </w:r>
          </w:p>
        </w:tc>
        <w:tc>
          <w:tcPr>
            <w:tcW w:w="16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4F7F7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5 anos</w:t>
            </w:r>
          </w:p>
        </w:tc>
        <w:tc>
          <w:tcPr>
            <w:tcW w:w="1401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4F7F7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4F7F7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4</w:t>
            </w:r>
          </w:p>
        </w:tc>
        <w:tc>
          <w:tcPr>
            <w:tcW w:w="34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4F7F7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Não</w:t>
            </w:r>
          </w:p>
        </w:tc>
      </w:tr>
    </w:tbl>
    <w:p>
      <w:pPr>
        <w:pStyle w:val="Normal"/>
        <w:keepNext w:val="false"/>
        <w:keepLines w:val="false"/>
        <w:spacing w:lineRule="exact" w:line="252" w:before="60" w:after="60"/>
        <w:jc w:val="both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>No outro sentido, 10 pacientes com menos de 5 anos já têm exame moderado ou grave (6 moderados e 4 graves). Outro paciente com menos de 5 anos já está em H&amp;Y 3 ou mais, com exame ainda leve. Poucos anos de doença também não garantem um quadro leve.</w:t>
      </w:r>
    </w:p>
    <w:p>
      <w:pPr>
        <w:pStyle w:val="Ttulo1"/>
        <w:keepNext w:val="true"/>
        <w:pBdr>
          <w:bottom w:val="single" w:sz="8" w:space="1" w:color="0E6B66"/>
        </w:pBdr>
        <w:spacing w:before="200" w:after="80"/>
        <w:rPr/>
      </w:pPr>
      <w:r>
        <w:rPr>
          <w:rFonts w:eastAsia="Calibri" w:cs="Calibri" w:ascii="Calibri" w:hAnsi="Calibri"/>
          <w:b/>
          <w:bCs/>
          <w:i w:val="false"/>
          <w:iCs w:val="false"/>
          <w:color w:val="1B3A4B"/>
          <w:sz w:val="26"/>
          <w:szCs w:val="26"/>
        </w:rPr>
        <w:t>8. Critérios combinados para discussão</w:t>
      </w:r>
    </w:p>
    <w:p>
      <w:pPr>
        <w:pStyle w:val="Normal"/>
        <w:keepNext w:val="false"/>
        <w:keepLines/>
        <w:spacing w:lineRule="exact" w:line="252" w:before="60" w:after="60"/>
        <w:jc w:val="both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>Exigir que todas as condições sejam verdadeiras ao mesmo tempo pode deixar o grupo pequeno demais, porque o limite de 5 anos passa a definir o tamanho. Três combinações ajudam a equipe a discutir um meio-termo. A terceira não usa o tempo de doença. Elas não são definições consagradas na literatura. São propostas para organizar esta casuística.</w:t>
      </w:r>
    </w:p>
    <w:p>
      <w:pPr>
        <w:pStyle w:val="Normal"/>
        <w:spacing w:lineRule="exact" w:line="252" w:before="60" w:after="60"/>
        <w:jc w:val="both"/>
        <w:rPr/>
      </w:pPr>
      <w:r>
        <w:rPr>
          <w:rFonts w:eastAsia="Calibri" w:cs="Calibri" w:ascii="Calibri" w:hAnsi="Calibri"/>
          <w:b/>
          <w:bCs/>
          <w:i w:val="false"/>
          <w:iCs w:val="false"/>
          <w:color w:val="1C1C1C"/>
          <w:sz w:val="22"/>
          <w:szCs w:val="22"/>
        </w:rPr>
        <w:t xml:space="preserve">Critério 1.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>H&amp;Y inferior a 3 e, além disso, duração inferior a 5 anos ou UPDRS III até 32. Resultado: 59 pacientes (44,4%). O estágio baixo é obrigatório. A pessoa também precisa ter pouco tempo de doença ou exame motor leve.</w:t>
      </w:r>
    </w:p>
    <w:p>
      <w:pPr>
        <w:pStyle w:val="Normal"/>
        <w:spacing w:lineRule="exact" w:line="252" w:before="60" w:after="60"/>
        <w:jc w:val="both"/>
        <w:rPr/>
      </w:pPr>
      <w:r>
        <w:rPr>
          <w:rFonts w:eastAsia="Calibri" w:cs="Calibri" w:ascii="Calibri" w:hAnsi="Calibri"/>
          <w:b/>
          <w:bCs/>
          <w:i w:val="false"/>
          <w:iCs w:val="false"/>
          <w:color w:val="1C1C1C"/>
          <w:sz w:val="22"/>
          <w:szCs w:val="22"/>
        </w:rPr>
        <w:t xml:space="preserve">Critério 2.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>Duração inferior a 5 anos ou, ao mesmo tempo, H&amp;Y inferior a 3 e UPDRS III até 32. Resultado: 63 pacientes (47,4%). Há duas formas de entrar: pouco tempo de sintomas ou, mesmo com mais tempo, estágio baixo e exame leve. P091 e P118 entram pela segunda forma.</w:t>
      </w:r>
    </w:p>
    <w:p>
      <w:pPr>
        <w:pStyle w:val="Normal"/>
        <w:spacing w:lineRule="exact" w:line="252" w:before="60" w:after="60"/>
        <w:jc w:val="both"/>
        <w:rPr/>
      </w:pPr>
      <w:r>
        <w:rPr>
          <w:rFonts w:eastAsia="Calibri" w:cs="Calibri" w:ascii="Calibri" w:hAnsi="Calibri"/>
          <w:b/>
          <w:bCs/>
          <w:i w:val="false"/>
          <w:iCs w:val="false"/>
          <w:color w:val="1C1C1C"/>
          <w:sz w:val="22"/>
          <w:szCs w:val="22"/>
        </w:rPr>
        <w:t xml:space="preserve">Critério 3.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>H&amp;Y inferior a 3 e UPDRS III até 32, sem usar o tempo de doença. Resultado: 52 pacientes (39,1%). Entram apenas as pessoas com estágio baixo e exame leve, tenha a doença começado há poucos anos ou há muitos.</w:t>
      </w:r>
    </w:p>
    <w:p>
      <w:pPr>
        <w:pStyle w:val="Normal"/>
        <w:spacing w:lineRule="exact" w:line="252" w:before="60" w:after="60"/>
        <w:jc w:val="both"/>
        <w:rPr/>
      </w:pPr>
      <w:r>
        <w:rPr>
          <w:rFonts w:eastAsia="Calibri" w:cs="Calibri" w:ascii="Calibri" w:hAnsi="Calibri"/>
          <w:b/>
          <w:bCs/>
          <w:i w:val="false"/>
          <w:iCs w:val="false"/>
          <w:color w:val="1C1C1C"/>
          <w:sz w:val="22"/>
          <w:szCs w:val="22"/>
        </w:rPr>
        <w:t xml:space="preserve">Corte até 2.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>A mesma leitura do critério 3, com H&amp;Y igual ou inferior a 2 no lugar de inferior a 3, reúne 37 pacientes (27,8%). Ficam de fora as 15 pessoas no estágio 2,5 que ainda têm exame leve. Olhando só o estágio, até 2 alcança 61 pessoas (45,9%), e abaixo de 3 alcança 100 (75,2%).</w:t>
      </w:r>
    </w:p>
    <w:tbl>
      <w:tblPr>
        <w:tblW w:w="9638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7238"/>
        <w:gridCol w:w="1099"/>
        <w:gridCol w:w="1301"/>
      </w:tblGrid>
      <w:tr>
        <w:trPr>
          <w:tblHeader w:val="true"/>
          <w:cantSplit w:val="true"/>
        </w:trPr>
        <w:tc>
          <w:tcPr>
            <w:tcW w:w="72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1B3A4B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Estratégia</w:t>
            </w:r>
          </w:p>
        </w:tc>
        <w:tc>
          <w:tcPr>
            <w:tcW w:w="10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1B3A4B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N</w:t>
            </w:r>
          </w:p>
        </w:tc>
        <w:tc>
          <w:tcPr>
            <w:tcW w:w="1301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1B3A4B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% da coorte</w:t>
            </w:r>
          </w:p>
        </w:tc>
      </w:tr>
      <w:tr>
        <w:trPr>
          <w:cantSplit w:val="true"/>
        </w:trPr>
        <w:tc>
          <w:tcPr>
            <w:tcW w:w="72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Só o tempo: duração inferior a 5 anos</w:t>
            </w:r>
          </w:p>
        </w:tc>
        <w:tc>
          <w:tcPr>
            <w:tcW w:w="10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30</w:t>
            </w:r>
          </w:p>
        </w:tc>
        <w:tc>
          <w:tcPr>
            <w:tcW w:w="1301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22,6%</w:t>
            </w:r>
          </w:p>
        </w:tc>
      </w:tr>
      <w:tr>
        <w:trPr>
          <w:cantSplit w:val="true"/>
        </w:trPr>
        <w:tc>
          <w:tcPr>
            <w:tcW w:w="72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4F7F7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Só o estágio: H&amp;Y inferior a 3</w:t>
            </w:r>
          </w:p>
        </w:tc>
        <w:tc>
          <w:tcPr>
            <w:tcW w:w="10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4F7F7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100</w:t>
            </w:r>
          </w:p>
        </w:tc>
        <w:tc>
          <w:tcPr>
            <w:tcW w:w="1301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4F7F7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75,2%</w:t>
            </w:r>
          </w:p>
        </w:tc>
      </w:tr>
      <w:tr>
        <w:trPr>
          <w:cantSplit w:val="true"/>
        </w:trPr>
        <w:tc>
          <w:tcPr>
            <w:tcW w:w="72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E7F0E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>Só o estágio, corte até 2</w:t>
            </w:r>
          </w:p>
        </w:tc>
        <w:tc>
          <w:tcPr>
            <w:tcW w:w="10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E7F0E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61</w:t>
            </w:r>
          </w:p>
        </w:tc>
        <w:tc>
          <w:tcPr>
            <w:tcW w:w="1301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E7F0E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45,9%</w:t>
            </w:r>
          </w:p>
        </w:tc>
      </w:tr>
      <w:tr>
        <w:trPr>
          <w:cantSplit w:val="true"/>
        </w:trPr>
        <w:tc>
          <w:tcPr>
            <w:tcW w:w="72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4F7F7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Só o exame: UPDRS III até 32</w:t>
            </w:r>
          </w:p>
        </w:tc>
        <w:tc>
          <w:tcPr>
            <w:tcW w:w="10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4F7F7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58</w:t>
            </w:r>
          </w:p>
        </w:tc>
        <w:tc>
          <w:tcPr>
            <w:tcW w:w="1301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F4F7F7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43,6%</w:t>
            </w:r>
          </w:p>
        </w:tc>
      </w:tr>
      <w:tr>
        <w:trPr>
          <w:cantSplit w:val="true"/>
        </w:trPr>
        <w:tc>
          <w:tcPr>
            <w:tcW w:w="72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E7F0E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>Critério 1: estágio baixo e (pouco tempo ou exame leve)</w:t>
            </w:r>
          </w:p>
        </w:tc>
        <w:tc>
          <w:tcPr>
            <w:tcW w:w="10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E7F0E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59</w:t>
            </w:r>
          </w:p>
        </w:tc>
        <w:tc>
          <w:tcPr>
            <w:tcW w:w="1301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E7F0E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44,4%</w:t>
            </w:r>
          </w:p>
        </w:tc>
      </w:tr>
      <w:tr>
        <w:trPr>
          <w:cantSplit w:val="true"/>
        </w:trPr>
        <w:tc>
          <w:tcPr>
            <w:tcW w:w="72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E7F0E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>Critério 2: pouco tempo ou (estágio baixo e exame leve)</w:t>
            </w:r>
          </w:p>
        </w:tc>
        <w:tc>
          <w:tcPr>
            <w:tcW w:w="10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E7F0E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63</w:t>
            </w:r>
          </w:p>
        </w:tc>
        <w:tc>
          <w:tcPr>
            <w:tcW w:w="1301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E7F0E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47,4%</w:t>
            </w:r>
          </w:p>
        </w:tc>
      </w:tr>
      <w:tr>
        <w:trPr>
          <w:cantSplit w:val="true"/>
        </w:trPr>
        <w:tc>
          <w:tcPr>
            <w:tcW w:w="72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E7F0E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>Critério 3: H&amp;Y inferior a 3 e UPDRS III até 32, sem o tempo</w:t>
            </w:r>
          </w:p>
        </w:tc>
        <w:tc>
          <w:tcPr>
            <w:tcW w:w="10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E7F0E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52</w:t>
            </w:r>
          </w:p>
        </w:tc>
        <w:tc>
          <w:tcPr>
            <w:tcW w:w="1301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E7F0E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39,1%</w:t>
            </w:r>
          </w:p>
        </w:tc>
      </w:tr>
      <w:tr>
        <w:trPr>
          <w:cantSplit w:val="true"/>
        </w:trPr>
        <w:tc>
          <w:tcPr>
            <w:tcW w:w="7238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E7F0E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>H&amp;Y igual ou inferior a 2 e UPDRS III até 32, sem o tempo</w:t>
            </w:r>
          </w:p>
        </w:tc>
        <w:tc>
          <w:tcPr>
            <w:tcW w:w="1099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E7F0E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37</w:t>
            </w:r>
          </w:p>
        </w:tc>
        <w:tc>
          <w:tcPr>
            <w:tcW w:w="1301" w:type="dx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shd w:fill="E7F0EF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>27,8%</w:t>
            </w:r>
          </w:p>
        </w:tc>
      </w:tr>
    </w:tbl>
    <w:p>
      <w:pPr>
        <w:pStyle w:val="Normal"/>
        <w:spacing w:lineRule="exact" w:line="252" w:before="60" w:after="60"/>
        <w:jc w:val="both"/>
        <w:rPr/>
      </w:pPr>
      <w:r>
        <w:rPr>
          <w:rFonts w:eastAsia="Calibri" w:cs="Calibri" w:ascii="Calibri" w:hAnsi="Calibri"/>
          <w:b/>
          <w:bCs/>
          <w:i w:val="false"/>
          <w:iCs w:val="false"/>
          <w:color w:val="1C1C1C"/>
          <w:sz w:val="22"/>
          <w:szCs w:val="22"/>
        </w:rPr>
        <w:t xml:space="preserve">Síntese.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>Em 133 pacientes, o tempo, o H&amp;Y e o UPDRS III respondem a perguntas diferentes. Menos de 5 anos de sintomas alcança 30 pessoas (22,6%). H&amp;Y abaixo de 3 alcança 100 (75,2%). H&amp;Y até 2 alcança 61 (45,9%). Exame motor leve alcança 58 (43,6%). O critério 3, só com H&amp;Y abaixo de 3 e exame leve, sem usar o tempo, reúne 52 pessoas (39,1%). O mesmo par de condições com H&amp;Y até 2 reúne 37 (27,8%).</w:t>
      </w:r>
    </w:p>
    <w:p>
      <w:pPr>
        <w:pStyle w:val="Normal"/>
        <w:keepNext w:val="false"/>
        <w:keepLines w:val="false"/>
        <w:spacing w:lineRule="exact" w:line="252" w:before="40" w:after="0"/>
        <w:jc w:val="both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5C6568"/>
          <w:sz w:val="18"/>
          <w:szCs w:val="18"/>
        </w:rPr>
        <w:t>Referência da classificação do MDS-UPDRS parte III: Martínez-Martín P, Rodríguez-Blázquez C, Alvarez M, et al. Parkinson's disease severity levels and MDS-Unified Parkinson's Disease Rating Scale. Parkinsonism &amp; Related Disorders. 2015;21(1):50-54.</w:t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500" w:top="1100" w:footer="500" w:bottom="100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6" w:color="D5DDE0"/>
      </w:pBdr>
      <w:spacing w:before="60" w:after="0"/>
      <w:rPr/>
    </w:pPr>
    <w:r>
      <w:rPr>
        <w:rFonts w:eastAsia="Calibri" w:cs="Calibri" w:ascii="Calibri" w:hAnsi="Calibri"/>
        <w:b w:val="false"/>
        <w:bCs w:val="false"/>
        <w:i w:val="false"/>
        <w:iCs w:val="false"/>
        <w:color w:val="5C6568"/>
        <w:sz w:val="16"/>
        <w:szCs w:val="16"/>
      </w:rPr>
      <w:t>PRIME — UFAM   |   23/10/2026   |   Dados até 22/10/2026</w:t>
    </w:r>
    <w:r>
      <w:rPr>
        <w:rFonts w:eastAsia="Calibri" w:cs="Calibri" w:ascii="Calibri" w:hAnsi="Calibri"/>
        <w:b w:val="false"/>
        <w:bCs w:val="false"/>
        <w:i w:val="false"/>
        <w:iCs w:val="false"/>
        <w:color w:val="1C1C1C"/>
        <w:sz w:val="16"/>
        <w:szCs w:val="16"/>
      </w:rPr>
      <w:t xml:space="preserve">          </w:t>
    </w:r>
    <w:r>
      <w:rPr>
        <w:rFonts w:eastAsia="Calibri" w:cs="Calibri" w:ascii="Calibri" w:hAnsi="Calibri"/>
        <w:b/>
        <w:bCs/>
        <w:color w:val="1B3A4B"/>
        <w:sz w:val="16"/>
        <w:szCs w:val="16"/>
      </w:rPr>
      <w:fldChar w:fldCharType="begin"/>
    </w:r>
    <w:r>
      <w:rPr>
        <w:sz w:val="16"/>
        <w:b/>
        <w:szCs w:val="16"/>
        <w:bCs/>
        <w:rFonts w:eastAsia="Calibri" w:cs="Calibri" w:ascii="Calibri" w:hAnsi="Calibri"/>
        <w:color w:val="1B3A4B"/>
      </w:rPr>
      <w:instrText xml:space="preserve"> PAGE </w:instrText>
    </w:r>
    <w:r>
      <w:rPr>
        <w:sz w:val="16"/>
        <w:b/>
        <w:szCs w:val="16"/>
        <w:bCs/>
        <w:rFonts w:eastAsia="Calibri" w:cs="Calibri" w:ascii="Calibri" w:hAnsi="Calibri"/>
        <w:color w:val="1B3A4B"/>
      </w:rPr>
      <w:fldChar w:fldCharType="separate"/>
    </w:r>
    <w:r>
      <w:rPr>
        <w:sz w:val="16"/>
        <w:b/>
        <w:szCs w:val="16"/>
        <w:bCs/>
        <w:rFonts w:eastAsia="Calibri" w:cs="Calibri" w:ascii="Calibri" w:hAnsi="Calibri"/>
        <w:color w:val="1B3A4B"/>
      </w:rPr>
      <w:t>5</w:t>
    </w:r>
    <w:r>
      <w:rPr>
        <w:sz w:val="16"/>
        <w:b/>
        <w:szCs w:val="16"/>
        <w:bCs/>
        <w:rFonts w:eastAsia="Calibri" w:cs="Calibri" w:ascii="Calibri" w:hAnsi="Calibri"/>
        <w:color w:val="1B3A4B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12" w:space="6" w:color="1B3A4B"/>
      </w:pBdr>
      <w:spacing w:before="0" w:after="80"/>
      <w:rPr/>
    </w:pPr>
    <w:r>
      <w:rPr>
        <w:rFonts w:eastAsia="Calibri" w:cs="Calibri" w:ascii="Calibri" w:hAnsi="Calibri"/>
        <w:b/>
        <w:bCs/>
        <w:i w:val="false"/>
        <w:iCs w:val="false"/>
        <w:color w:val="1B3A4B"/>
        <w:sz w:val="18"/>
        <w:szCs w:val="18"/>
      </w:rPr>
      <w:t>Projeto PRIME</w:t>
    </w:r>
    <w:r>
      <w:rPr>
        <w:rFonts w:eastAsia="Calibri" w:cs="Calibri" w:ascii="Calibri" w:hAnsi="Calibri"/>
        <w:b w:val="false"/>
        <w:bCs w:val="false"/>
        <w:i w:val="false"/>
        <w:iCs w:val="false"/>
        <w:color w:val="5C6568"/>
        <w:sz w:val="18"/>
        <w:szCs w:val="18"/>
      </w:rPr>
      <w:t xml:space="preserve">          Estágio inicial na doença de Parkinson</w:t>
    </w:r>
  </w:p>
</w:hdr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pt-BR" w:eastAsia="zh-CN" w:bidi="hi-IN"/>
    </w:rPr>
  </w:style>
  <w:style w:type="paragraph" w:styleId="Ttulo1">
    <w:name w:val="Heading 1"/>
    <w:basedOn w:val="Normal"/>
    <w:next w:val="Normal"/>
    <w:qFormat/>
    <w:pPr/>
    <w:rPr>
      <w:color w:val="2E74B5"/>
      <w:sz w:val="32"/>
      <w:szCs w:val="32"/>
    </w:rPr>
  </w:style>
  <w:style w:type="paragraph" w:styleId="Ttulo2">
    <w:name w:val="Heading 2"/>
    <w:basedOn w:val="Normal"/>
    <w:next w:val="Normal"/>
    <w:qFormat/>
    <w:pPr/>
    <w:rPr>
      <w:color w:val="2E74B5"/>
      <w:sz w:val="26"/>
      <w:szCs w:val="26"/>
    </w:rPr>
  </w:style>
  <w:style w:type="paragraph" w:styleId="Ttulo3">
    <w:name w:val="Heading 3"/>
    <w:basedOn w:val="Normal"/>
    <w:next w:val="Normal"/>
    <w:qFormat/>
    <w:pPr/>
    <w:rPr>
      <w:color w:val="1F4D78"/>
      <w:sz w:val="24"/>
      <w:szCs w:val="24"/>
    </w:rPr>
  </w:style>
  <w:style w:type="paragraph" w:styleId="Ttulo4">
    <w:name w:val="Heading 4"/>
    <w:basedOn w:val="Normal"/>
    <w:next w:val="Normal"/>
    <w:qFormat/>
    <w:pPr/>
    <w:rPr>
      <w:i/>
      <w:iCs/>
      <w:color w:val="2E74B5"/>
    </w:rPr>
  </w:style>
  <w:style w:type="paragraph" w:styleId="Ttulo5">
    <w:name w:val="Heading 5"/>
    <w:basedOn w:val="Normal"/>
    <w:next w:val="Normal"/>
    <w:qFormat/>
    <w:pPr/>
    <w:rPr>
      <w:color w:val="2E74B5"/>
    </w:rPr>
  </w:style>
  <w:style w:type="paragraph" w:styleId="Ttulo6">
    <w:name w:val="Heading 6"/>
    <w:basedOn w:val="Normal"/>
    <w:next w:val="Normal"/>
    <w:qFormat/>
    <w:pPr/>
    <w:rPr>
      <w:color w:val="1F4D78"/>
    </w:rPr>
  </w:style>
  <w:style w:type="character" w:styleId="LinkdaInternet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Ncoradanotaderodap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Ncoradanotadefim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character" w:styleId="Linenumber">
    <w:name w:val="line number"/>
    <w:uiPriority w:val="99"/>
    <w:semiHidden/>
    <w:unhideWhenUsed/>
    <w:qFormat/>
    <w:rPr/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Noto Sans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dodocumento">
    <w:name w:val="Title"/>
    <w:basedOn w:val="Normal"/>
    <w:next w:val="Normal"/>
    <w:qFormat/>
    <w:pPr/>
    <w:rPr>
      <w:sz w:val="56"/>
      <w:szCs w:val="56"/>
    </w:rPr>
  </w:style>
  <w:style w:type="paragraph" w:styleId="Strong">
    <w:name w:val="Strong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0"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pPr/>
    <w:rPr/>
  </w:style>
  <w:style w:type="paragraph" w:styleId="Sumrio1">
    <w:name w:val="TOC 1"/>
    <w:basedOn w:val="Normal"/>
    <w:next w:val="Normal"/>
    <w:uiPriority w:val="39"/>
    <w:semiHidden/>
    <w:unhideWhenUsed/>
    <w:pPr>
      <w:spacing w:before="0" w:after="100"/>
    </w:pPr>
    <w:rPr/>
  </w:style>
  <w:style w:type="paragraph" w:styleId="Sumrio2">
    <w:name w:val="TOC 2"/>
    <w:basedOn w:val="Normal"/>
    <w:next w:val="Normal"/>
    <w:uiPriority w:val="39"/>
    <w:semiHidden/>
    <w:unhideWhenUsed/>
    <w:pPr>
      <w:spacing w:before="0" w:after="100"/>
      <w:ind w:left="200" w:hanging="0"/>
    </w:pPr>
    <w:rPr/>
  </w:style>
  <w:style w:type="paragraph" w:styleId="Sumrio3">
    <w:name w:val="TOC 3"/>
    <w:basedOn w:val="Normal"/>
    <w:next w:val="Normal"/>
    <w:uiPriority w:val="39"/>
    <w:semiHidden/>
    <w:unhideWhenUsed/>
    <w:pPr>
      <w:spacing w:before="0" w:after="100"/>
      <w:ind w:left="400" w:hanging="0"/>
    </w:pPr>
    <w:rPr/>
  </w:style>
  <w:style w:type="paragraph" w:styleId="Sumrio4">
    <w:name w:val="TOC 4"/>
    <w:basedOn w:val="Normal"/>
    <w:next w:val="Normal"/>
    <w:uiPriority w:val="39"/>
    <w:semiHidden/>
    <w:unhideWhenUsed/>
    <w:pPr>
      <w:spacing w:before="0" w:after="100"/>
      <w:ind w:left="600" w:hanging="0"/>
    </w:pPr>
    <w:rPr/>
  </w:style>
  <w:style w:type="paragraph" w:styleId="Sumrio5">
    <w:name w:val="TOC 5"/>
    <w:basedOn w:val="Normal"/>
    <w:next w:val="Normal"/>
    <w:uiPriority w:val="39"/>
    <w:semiHidden/>
    <w:unhideWhenUsed/>
    <w:pPr>
      <w:spacing w:before="0" w:after="100"/>
      <w:ind w:left="800" w:hanging="0"/>
    </w:pPr>
    <w:rPr/>
  </w:style>
  <w:style w:type="paragraph" w:styleId="Sumrio6">
    <w:name w:val="TOC 6"/>
    <w:basedOn w:val="Normal"/>
    <w:next w:val="Normal"/>
    <w:uiPriority w:val="39"/>
    <w:semiHidden/>
    <w:unhideWhenUsed/>
    <w:pPr>
      <w:spacing w:before="0" w:after="100"/>
      <w:ind w:left="1000" w:hanging="0"/>
    </w:pPr>
    <w:rPr/>
  </w:style>
  <w:style w:type="paragraph" w:styleId="Sumrio7">
    <w:name w:val="TOC 7"/>
    <w:basedOn w:val="Normal"/>
    <w:next w:val="Normal"/>
    <w:uiPriority w:val="39"/>
    <w:semiHidden/>
    <w:unhideWhenUsed/>
    <w:pPr>
      <w:spacing w:before="0" w:after="100"/>
      <w:ind w:left="1200" w:hanging="0"/>
    </w:pPr>
    <w:rPr/>
  </w:style>
  <w:style w:type="paragraph" w:styleId="Sumrio8">
    <w:name w:val="TOC 8"/>
    <w:basedOn w:val="Normal"/>
    <w:next w:val="Normal"/>
    <w:uiPriority w:val="39"/>
    <w:semiHidden/>
    <w:unhideWhenUsed/>
    <w:pPr>
      <w:spacing w:before="0" w:after="100"/>
      <w:ind w:left="1400" w:hanging="0"/>
    </w:pPr>
    <w:rPr/>
  </w:style>
  <w:style w:type="paragraph" w:styleId="Sumrio9">
    <w:name w:val="TOC 9"/>
    <w:basedOn w:val="Normal"/>
    <w:next w:val="Normal"/>
    <w:uiPriority w:val="39"/>
    <w:semiHidden/>
    <w:unhideWhenUsed/>
    <w:pPr>
      <w:spacing w:before="0" w:after="100"/>
      <w:ind w:left="1600" w:hanging="0"/>
    </w:pPr>
    <w:rPr/>
  </w:style>
  <w:style w:type="paragraph" w:styleId="Notaderodap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Notadefim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CabealhoeRodap"/>
    <w:pPr/>
    <w:rPr/>
  </w:style>
  <w:style w:type="paragraph" w:styleId="Rodap">
    <w:name w:val="Footer"/>
    <w:basedOn w:val="CabealhoeRodap"/>
    <w:pPr/>
    <w:rPr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LibreOffice/7.4.7.2$Linux_X86_64 LibreOffice_project/40$Build-2</Application>
  <AppVersion>15.0000</AppVersion>
  <Pages>5</Pages>
  <Words>1880</Words>
  <Characters>8295</Characters>
  <CharactersWithSpaces>9923</CharactersWithSpaces>
  <Paragraphs>279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2026-10-23T15:23:46Z</dcterms:created>
  <dc:creator>Un-named</dc:creator>
  <dc:description/>
  <dc:language>pt-BR</dc:language>
  <cp:lastModifiedBy/>
  <dcterms:modified xsi:type="dcterms:W3CDTF">2026-10-23T11:32:45Z</dcterms:modified>
  <cp:revision>2</cp:revision>
  <dc:subject/>
  <dc:title/>
</cp:coreProperties>
</file>