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Application Crash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application crash.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application crash.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application crash.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