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SOP for Corrupt Data Issues</w:t>
      </w:r>
    </w:p>
    <w:p>
      <w:pPr>
        <w:pStyle w:val="Heading2"/>
      </w:pPr>
      <w:r>
        <w:t>Purpose</w:t>
      </w:r>
    </w:p>
    <w:p>
      <w:r>
        <w:t>To troubleshoot and resolve Corrupt Data issues.</w:t>
      </w:r>
    </w:p>
    <w:p>
      <w:pPr>
        <w:pStyle w:val="Heading2"/>
      </w:pPr>
      <w:r>
        <w:t>Scope</w:t>
      </w:r>
    </w:p>
    <w:p>
      <w:r>
        <w:t>Includes Database systems and Corrupt Data-related services.</w:t>
      </w:r>
    </w:p>
    <w:p>
      <w:pPr>
        <w:pStyle w:val="Heading2"/>
      </w:pPr>
      <w:r>
        <w:t>Procedure</w:t>
      </w:r>
    </w:p>
    <w:p>
      <w:r>
        <w:br/>
        <w:t xml:space="preserve">            1. User reports Corrupt Data issue via Help Desk.</w:t>
        <w:br/>
        <w:t xml:space="preserve">            2. Verify the reported issue by checking system logs and configurations.</w:t>
        <w:br/>
        <w:t xml:space="preserve">            3. Perform initial troubleshooting steps such as restarting services, checking settings, or running diagnostic tools.</w:t>
        <w:br/>
        <w:t xml:space="preserve">            4. If the issue persists, escalate to the respective Database support team.</w:t>
        <w:br/>
        <w:t xml:space="preserve">            5. Apply the recommended solution and verify resolution.</w:t>
        <w:br/>
        <w:t xml:space="preserve">            6. Confirm resolution with the user and close the ticket.</w:t>
        <w:br/>
        <w:t xml:space="preserve">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