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C9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Acanthinula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aculeata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F26435" w:rsidRPr="00F26435" w:rsidRDefault="00F26435" w:rsidP="00F26435">
      <w:pPr>
        <w:pStyle w:val="Odsekzoznamu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>vzácne sa vyskytujúci druh – lokalita 1 a 2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teplomilný druh listnatých a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zmiešaných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pahorkatinných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až horských lesov. Žije vo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vlhkom tlejúcom rastlinnom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opade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 pod mŕtvym drevom.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Najhojnejší v pahorkatinách 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submontánnom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pásme (do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800 m n. m.), vyššie sa vyskytuje zriedkavo. Vyhýba sa nížinám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a suchým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bezlesým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plošinám (</w:t>
      </w:r>
      <w:proofErr w:type="spellStart"/>
      <w:r>
        <w:rPr>
          <w:rFonts w:ascii="TimesNewRomanPSMT-SC700" w:hAnsi="TimesNewRomanPSMT-SC700" w:cs="TimesNewRomanPSMT-SC700"/>
          <w:sz w:val="20"/>
          <w:szCs w:val="20"/>
        </w:rPr>
        <w:t>L</w:t>
      </w:r>
      <w:r>
        <w:rPr>
          <w:rFonts w:ascii="TimesNewRomanPSMT-SC700" w:hAnsi="TimesNewRomanPSMT-SC700" w:cs="TimesNewRomanPSMT-SC700"/>
          <w:sz w:val="14"/>
          <w:szCs w:val="14"/>
        </w:rPr>
        <w:t>ožek</w:t>
      </w:r>
      <w:proofErr w:type="spellEnd"/>
      <w:r>
        <w:rPr>
          <w:rFonts w:ascii="TimesNewRomanPSMT-SC700" w:hAnsi="TimesNewRomanPSMT-SC700" w:cs="TimesNewRomanPSMT-SC7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1956). Druh sa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vyskytol na jedinej lokalite (č. 20). Stanovišťom je značne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degradovaný relikt tvrdého lužného lesa. Pravdepodobne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ide o malokarpatskú populáciu splavenú z južných výbežkov</w:t>
      </w:r>
    </w:p>
    <w:p w:rsidR="00F26435" w:rsidRDefault="00F26435" w:rsidP="00F26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Devínskych Karpát, hoci v úseku Bratislava–Devín až</w:t>
      </w:r>
    </w:p>
    <w:p w:rsidR="00F26435" w:rsidRPr="00F26435" w:rsidRDefault="00F26435" w:rsidP="00F26435">
      <w:pPr>
        <w:pStyle w:val="Odsekzoznamu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0"/>
          <w:szCs w:val="20"/>
        </w:rPr>
        <w:t>Vlčie Hrdlo nebol zatiaľ potvrdený.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Aegopinella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minor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Stabile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1864)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Aegopinella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nitens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Michaud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1831)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Alinda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biplicata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Montagu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1803)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Arianta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arbustorum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Arion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fuscus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Arion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lusitanicus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J.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Mabille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1868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Boettgerilla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pallens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Simroth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1912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Carychium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minimum </w:t>
      </w:r>
      <w:r w:rsidRPr="00A743B5">
        <w:rPr>
          <w:rFonts w:ascii="TimesNewRomanPSMT" w:hAnsi="TimesNewRomanPSMT" w:cs="TimesNewRomanPSMT"/>
          <w:sz w:val="28"/>
          <w:szCs w:val="28"/>
        </w:rPr>
        <w:t>O.F. Müller, 1774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Carychium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tridentatum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Risso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1826)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Cecilioides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acicula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Cepaea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hortensis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Cepaea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vindobonensis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(A.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Férussac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1821)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Chondrula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tridens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Clausilia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pumila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C.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Pfeiffer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1828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Cochlicopa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lubrica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Cochlodina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laminata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Montagu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1803)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Columella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edentula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1805)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Deroceras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laeve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Deroceras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reticulatum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Deroceras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sturanyi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Simroth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1894)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Deroceras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turcicum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Simroth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1894)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Discus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rotundatus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Euconulus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fulvus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Euconulus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praticola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Reinhardt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1883)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Euomphalia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strigella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Fruticicola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fruticum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Granaria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frumentum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Helix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pomatia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Limax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cinereoniger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Wolf, 1803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Limax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maximus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Monachoides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incarnatus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Oxychilus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draparnaudi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Beck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1837)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Oxyloma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elegans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Risso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1826)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Petasina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unidentata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1805)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Pseudotrichia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rubiginosa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Rossmässler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1838)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Punctum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pygmaeum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1805)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Pupilla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muscorum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Semilimax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semilimax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(J.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Férussac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1802)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Succinea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putris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Succinella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oblonga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Draparnaud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Tandonia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budapestensis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Hazay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1881)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Trochulus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hispidus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Linnaeus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1758)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Trochulus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striolatus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danubialis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Clessin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Truncatellina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cylindrica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(A.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Férussac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1807)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Urticicola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umbrosus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 xml:space="preserve">(C. 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Pfeiffer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1828)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Vallonia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costata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Vallonia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pulchella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Vitrea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contracta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A743B5">
        <w:rPr>
          <w:rFonts w:ascii="TimesNewRomanPSMT" w:hAnsi="TimesNewRomanPSMT" w:cs="TimesNewRomanPSMT"/>
          <w:sz w:val="28"/>
          <w:szCs w:val="28"/>
        </w:rPr>
        <w:t>Westerlund</w:t>
      </w:r>
      <w:proofErr w:type="spellEnd"/>
      <w:r w:rsidRPr="00A743B5">
        <w:rPr>
          <w:rFonts w:ascii="TimesNewRomanPSMT" w:hAnsi="TimesNewRomanPSMT" w:cs="TimesNewRomanPSMT"/>
          <w:sz w:val="28"/>
          <w:szCs w:val="28"/>
        </w:rPr>
        <w:t>, 1871)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Vitrea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crystallina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Vitrina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pellucida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C3274" w:rsidRDefault="00AC3274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:rsidR="00A743B5" w:rsidRPr="00A743B5" w:rsidRDefault="00A743B5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Zonitoides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>nitidus</w:t>
      </w:r>
      <w:proofErr w:type="spellEnd"/>
      <w:r w:rsidRPr="00A743B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A743B5">
        <w:rPr>
          <w:rFonts w:ascii="TimesNewRomanPSMT" w:hAnsi="TimesNewRomanPSMT" w:cs="TimesNewRomanPSMT"/>
          <w:sz w:val="28"/>
          <w:szCs w:val="28"/>
        </w:rPr>
        <w:t>(O.F. Müller, 1774)</w:t>
      </w:r>
    </w:p>
    <w:p w:rsidR="00A743B5" w:rsidRDefault="00A743B5">
      <w:pPr>
        <w:rPr>
          <w:rFonts w:ascii="TimesNewRomanPSMT" w:hAnsi="TimesNewRomanPSMT" w:cs="TimesNewRomanPSMT"/>
          <w:sz w:val="18"/>
          <w:szCs w:val="18"/>
        </w:rPr>
      </w:pPr>
    </w:p>
    <w:p w:rsidR="00923E98" w:rsidRDefault="00923E9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br w:type="page"/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[4] </w:t>
      </w:r>
      <w:r>
        <w:rPr>
          <w:rFonts w:ascii="TimesNewRomanPSMT" w:hAnsi="TimesNewRomanPSMT" w:cs="TimesNewRomanPSMT"/>
          <w:sz w:val="20"/>
          <w:szCs w:val="20"/>
        </w:rPr>
        <w:t xml:space="preserve">Petržalka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Pečniansky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ostrov (A), 48.132571,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17.083524; porast jaseňa s vtrúseným topoľom bielym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(suchší variant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Fraxino-Populetum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 na mieste bývalého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ostrova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Pečňa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ktorý zanikol koncom 19. stor.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alba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Robinia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pseudoacacia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Swida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sanguinea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campestre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ursinum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Ficaria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bulbifera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Rubus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caesius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Aegopodium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podagraria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Brachypodium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sylvaticum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Galium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aparine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Glechoma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hederacea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Impatiens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parviflora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Polygonatum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multiflorum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Viola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reichenbachiana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.</w:t>
      </w:r>
    </w:p>
    <w:p w:rsidR="00AC3274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Plocha: 2.4; TC+JC 20.4.2011.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[5] </w:t>
      </w:r>
      <w:r>
        <w:rPr>
          <w:rFonts w:ascii="TimesNewRomanPSMT" w:hAnsi="TimesNewRomanPSMT" w:cs="TimesNewRomanPSMT"/>
          <w:sz w:val="20"/>
          <w:szCs w:val="20"/>
        </w:rPr>
        <w:t xml:space="preserve">Petržalka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Pečniansky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ostrov (B), 48.128565,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17.086346; 15-ročný porast šľachteného topoľa na stanovišti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Salici-Populetum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typicum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var. so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Swida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sanguinea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na mieste bývalého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Pečnianskeho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ramena, ktoré zaniklo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približne v 60. rokoch 20. stor.,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prietočné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bolo naposledy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koncom 19. storočia (</w:t>
      </w:r>
      <w:proofErr w:type="spellStart"/>
      <w:r>
        <w:rPr>
          <w:rFonts w:ascii="TimesNewRomanPSMT-SC700" w:hAnsi="TimesNewRomanPSMT-SC700" w:cs="TimesNewRomanPSMT-SC700"/>
          <w:sz w:val="20"/>
          <w:szCs w:val="20"/>
        </w:rPr>
        <w:t>P</w:t>
      </w:r>
      <w:r>
        <w:rPr>
          <w:rFonts w:ascii="TimesNewRomanPSMT-SC700" w:hAnsi="TimesNewRomanPSMT-SC700" w:cs="TimesNewRomanPSMT-SC700"/>
          <w:sz w:val="14"/>
          <w:szCs w:val="14"/>
        </w:rPr>
        <w:t>išút</w:t>
      </w:r>
      <w:proofErr w:type="spellEnd"/>
      <w:r>
        <w:rPr>
          <w:rFonts w:ascii="TimesNewRomanPSMT-SC700" w:hAnsi="TimesNewRomanPSMT-SC700" w:cs="TimesNewRomanPSMT-SC7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2000)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×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euroamericana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Swida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sanguinea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Solidago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gigantea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Rubus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caesius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Aster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lanceolatus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agg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.,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Glechoma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hederacea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Swida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sanguinea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americana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.</w:t>
      </w:r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Plocha: 0.08; TC 20.4.2011.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23E98">
        <w:rPr>
          <w:rFonts w:ascii="TimesNewRomanPS-BoldMT" w:hAnsi="TimesNewRomanPS-BoldMT" w:cs="TimesNewRomanPS-BoldMT"/>
          <w:b/>
          <w:bCs/>
          <w:sz w:val="20"/>
          <w:szCs w:val="20"/>
          <w:highlight w:val="yellow"/>
        </w:rPr>
        <w:t xml:space="preserve">[6] </w:t>
      </w:r>
      <w:r w:rsidRPr="00923E98">
        <w:rPr>
          <w:rFonts w:ascii="TimesNewRomanPSMT" w:hAnsi="TimesNewRomanPSMT" w:cs="TimesNewRomanPSMT"/>
          <w:sz w:val="20"/>
          <w:szCs w:val="20"/>
          <w:highlight w:val="yellow"/>
        </w:rPr>
        <w:t>Petržalka</w:t>
      </w:r>
      <w:r>
        <w:rPr>
          <w:rFonts w:ascii="TimesNewRomanPSMT" w:hAnsi="TimesNewRomanPSMT" w:cs="TimesNewRomanPSMT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Aušpic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48.137792, 17.088915; asi 150 m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široký pás prechodného lužného lesa v záplavovom území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Dunaja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×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canescens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Cerasus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avium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). Plocha: 0.11; TC máj 2001.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[7] </w:t>
      </w:r>
      <w:r>
        <w:rPr>
          <w:rFonts w:ascii="TimesNewRomanPSMT" w:hAnsi="TimesNewRomanPSMT" w:cs="TimesNewRomanPSMT"/>
          <w:sz w:val="20"/>
          <w:szCs w:val="20"/>
        </w:rPr>
        <w:t>Petržalka – Zrkadlový háj, 48.105233, 17.119520;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tvrdý lužný les (približne 60-ročný porast) východne od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štrkoviska Veľký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Draždiak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dom.,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Aegopodium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podagraria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dom.). Plocha: 0.09; TC+LD 15.6.2004, TC+JC</w:t>
      </w:r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15.5.2011.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[8] </w:t>
      </w:r>
      <w:r>
        <w:rPr>
          <w:rFonts w:ascii="TimesNewRomanPSMT" w:hAnsi="TimesNewRomanPSMT" w:cs="TimesNewRomanPSMT"/>
          <w:sz w:val="20"/>
          <w:szCs w:val="20"/>
        </w:rPr>
        <w:t xml:space="preserve">Petržalka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Kutlíkova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ulica, 48.112712, 17.117124;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60-ročný fragment tvrdého lužného lesa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subas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Ulmo-Fraxinetum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hederetosum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Tilia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cordata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dom.,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Quercus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robur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dom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.</w:t>
      </w:r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Ulmus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laevis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Carpinus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betulus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Cornus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mas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campestre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Staphyllea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pinnata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Hedera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helix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ursinum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Convallaria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majalis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Galanthus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nivalis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Polygonatum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multiflorum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).</w:t>
      </w:r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Plocha: 0.11; TC 17.4.2000.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[9] </w:t>
      </w:r>
      <w:r>
        <w:rPr>
          <w:rFonts w:ascii="TimesNewRomanPSMT" w:hAnsi="TimesNewRomanPSMT" w:cs="TimesNewRomanPSMT"/>
          <w:sz w:val="20"/>
          <w:szCs w:val="20"/>
        </w:rPr>
        <w:t>Petržalka – Pieskovisko, 48.100725, 17.124476; 50–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60 ročný prechodný lužný les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×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canescens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dom.,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Swida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sanguinea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Viburnum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opulus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Galium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odoratum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Stachys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sylvatica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Allium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ursinum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Parietaria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officinalis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). Absolútny vek stanovišťa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je podľa historických máp 230 rokov. Plocha: 0.03;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TC+LD 15.6.2004, TC+JC 8.4.2011.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[10] </w:t>
      </w:r>
      <w:r>
        <w:rPr>
          <w:rFonts w:ascii="TimesNewRomanPSMT" w:hAnsi="TimesNewRomanPSMT" w:cs="TimesNewRomanPSMT"/>
          <w:sz w:val="20"/>
          <w:szCs w:val="20"/>
        </w:rPr>
        <w:t>Petržalka – Starý háj, 48.107256, 17.132007; 50-ročný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prechodný lužný les. V jarnom aspekte dominujú efemérne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geofyty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ursinum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Galanthus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nivalis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Ficaria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bulbifera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v letnom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Rubus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caesius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Urtica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dioica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Stellaria</w:t>
      </w:r>
      <w:proofErr w:type="spellEnd"/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media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. Plocha: 0.56; TC 14.5.1992. (Obr. 3)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[13]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Rusovský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park (štrkovisko), 48.059235, 17.149663;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80-ročný porast tvrdého lužného lesa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Ulmo-Quercetum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lastRenderedPageBreak/>
        <w:t>caricetosum-albae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), absolútny vek stanovišťa je 220 rokov.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Plocha: 0.03; TC+JC 16.3.2011.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[14]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Rusovský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park (rameno), 48.053122, 17.153804;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pobrežný pás bývalého dunajského ramena s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mokraďovou</w:t>
      </w:r>
      <w:proofErr w:type="spellEnd"/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vegetáciou. Plocha: 0.17; TC 8.4.1999.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[15]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Rusovský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ostrov, 48.057397, 17.167331; zaplavovaný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tvrdý lužný les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alba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P.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Populus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×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euroamericana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Aegopodium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podagraria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Parietaria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officinalis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Urtica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dioica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), vek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porastu 57 rokov. Plocha: 0.50; TC+JC 13.4.2011.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[16]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Čuňovo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– Ostrovné lúčky, 48.038487, 17.183085;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rozpadajúci sa mäkký lužný les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Salix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fragilis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Urtica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dioica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Galium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aparine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Carex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riparia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 od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30. rokov 20. stor. nezaplavovaný povrchovou vodou, vek</w:t>
      </w:r>
    </w:p>
    <w:p w:rsidR="00923E98" w:rsidRDefault="00923E98" w:rsidP="00923E98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porastu asi 50 rokov. Plocha: 0.09; TC+JC 13.4.2011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[17]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Čuňovo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48.044563, 17.176514; mladý, 8-ročný porast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jaseňa, pôda kompaktná, s minimom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opadu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Sambucus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nigra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Solidago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canadensis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Rubus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caesius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>. Plocha: 0.28; TC 9.6.2000.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[18]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Čuňovo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48.044860, 17.178366; vyspelý, asi 80-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-ročný jaseňový porast s vtrúseným agátom 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Fraxinus</w:t>
      </w:r>
      <w:proofErr w:type="spellEnd"/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excelsior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Acer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pseudoplatanus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Robinia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pseudoacacia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</w:t>
      </w:r>
    </w:p>
    <w:p w:rsidR="00923E98" w:rsidRDefault="00923E98" w:rsidP="00923E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Cerasus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avium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Aegopodium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podagraria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). Plocha: 0.26;</w:t>
      </w:r>
    </w:p>
    <w:p w:rsidR="00923E98" w:rsidRDefault="00923E98" w:rsidP="00923E9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20"/>
          <w:szCs w:val="20"/>
        </w:rPr>
        <w:t>TC 9.6.2000.</w:t>
      </w:r>
    </w:p>
    <w:sectPr w:rsidR="00923E98" w:rsidSect="00D0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-SC7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5B7"/>
    <w:multiLevelType w:val="hybridMultilevel"/>
    <w:tmpl w:val="5CBE4360"/>
    <w:lvl w:ilvl="0" w:tplc="A4EA557E">
      <w:start w:val="1980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743B5"/>
    <w:rsid w:val="007E0C55"/>
    <w:rsid w:val="00894992"/>
    <w:rsid w:val="00923E98"/>
    <w:rsid w:val="00A743B5"/>
    <w:rsid w:val="00AC3274"/>
    <w:rsid w:val="00D01DC9"/>
    <w:rsid w:val="00F2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D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64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ewikitta</dc:creator>
  <cp:lastModifiedBy>ewikitta</cp:lastModifiedBy>
  <cp:revision>2</cp:revision>
  <dcterms:created xsi:type="dcterms:W3CDTF">2013-07-13T17:04:00Z</dcterms:created>
  <dcterms:modified xsi:type="dcterms:W3CDTF">2013-07-13T20:07:00Z</dcterms:modified>
</cp:coreProperties>
</file>