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6DCD" w14:textId="4F5EC5A4" w:rsidR="007427F6" w:rsidRPr="007427F6" w:rsidRDefault="007427F6">
      <w:pPr>
        <w:rPr>
          <w:b/>
          <w:bCs/>
        </w:rPr>
      </w:pPr>
      <w:r>
        <w:rPr>
          <w:b/>
          <w:bCs/>
        </w:rPr>
        <w:t>Bears</w:t>
      </w:r>
    </w:p>
    <w:p w14:paraId="7CA39552" w14:textId="609FE6E3" w:rsidR="007F7BB8" w:rsidRDefault="00CD135D">
      <w:r w:rsidRPr="00CD135D">
        <w:t>A Bayesian state-space model using age-at-harvest data for estimating the population of black bears (Ursus americanus) in Wisconsin</w:t>
      </w:r>
    </w:p>
    <w:p w14:paraId="121938AF" w14:textId="034E0743" w:rsidR="00CD135D" w:rsidRDefault="00CD135D" w:rsidP="00CD135D">
      <w:pPr>
        <w:pStyle w:val="ListParagraph"/>
        <w:numPr>
          <w:ilvl w:val="0"/>
          <w:numId w:val="1"/>
        </w:numPr>
      </w:pPr>
      <w:r>
        <w:t>Current estimation methodology of black bear population in Wisconsin</w:t>
      </w:r>
    </w:p>
    <w:p w14:paraId="3F36083D" w14:textId="1F110374" w:rsidR="00CD135D" w:rsidRDefault="00CD135D" w:rsidP="00CD135D">
      <w:pPr>
        <w:pStyle w:val="ListParagraph"/>
        <w:numPr>
          <w:ilvl w:val="0"/>
          <w:numId w:val="1"/>
        </w:numPr>
      </w:pPr>
      <w:r>
        <w:t>Independent population estimates are expensive and conducted years apart</w:t>
      </w:r>
    </w:p>
    <w:p w14:paraId="1DA870BA" w14:textId="64EF70FD" w:rsidR="00CD135D" w:rsidRDefault="00CD135D" w:rsidP="00CD135D">
      <w:pPr>
        <w:pStyle w:val="ListParagraph"/>
        <w:numPr>
          <w:ilvl w:val="0"/>
          <w:numId w:val="1"/>
        </w:numPr>
      </w:pPr>
      <w:r>
        <w:t>Its important to perform independent population estimates every 3-5yrs to improve the model precision over time and ensure the abundance estimates are realistic</w:t>
      </w:r>
    </w:p>
    <w:p w14:paraId="1F0D48F2" w14:textId="2C95EC64" w:rsidR="00EC667D" w:rsidRDefault="00EC667D" w:rsidP="00CD135D">
      <w:pPr>
        <w:pStyle w:val="ListParagraph"/>
        <w:numPr>
          <w:ilvl w:val="0"/>
          <w:numId w:val="1"/>
        </w:numPr>
      </w:pPr>
      <w:r>
        <w:t>Hunting season starts Wednesday after Labor Day</w:t>
      </w:r>
    </w:p>
    <w:p w14:paraId="586DE9BE" w14:textId="5E615143" w:rsidR="00EC667D" w:rsidRDefault="00EC667D" w:rsidP="00CD135D">
      <w:pPr>
        <w:pStyle w:val="ListParagraph"/>
        <w:numPr>
          <w:ilvl w:val="0"/>
          <w:numId w:val="1"/>
        </w:numPr>
      </w:pPr>
      <w:r>
        <w:t>Non-harvest mortality for bears typically low</w:t>
      </w:r>
    </w:p>
    <w:p w14:paraId="0FED7DBA" w14:textId="7F4C5AA5" w:rsidR="007427F6" w:rsidRDefault="007427F6" w:rsidP="007427F6">
      <w:r w:rsidRPr="007427F6">
        <w:t>Habitat selection by female American black bears in northern Wisconsin</w:t>
      </w:r>
    </w:p>
    <w:p w14:paraId="0B17BE8D" w14:textId="5C95EBE8" w:rsidR="007427F6" w:rsidRDefault="007427F6" w:rsidP="007427F6">
      <w:pPr>
        <w:pStyle w:val="ListParagraph"/>
        <w:numPr>
          <w:ilvl w:val="0"/>
          <w:numId w:val="2"/>
        </w:numPr>
      </w:pPr>
      <w:r>
        <w:t>Fairly useless, home ranges contained more we</w:t>
      </w:r>
      <w:r w:rsidR="00945FA4">
        <w:t>t</w:t>
      </w:r>
      <w:r>
        <w:t xml:space="preserve">lands, mixed deciduous coniferous forest, forested wetlands, and coniferous forest and </w:t>
      </w:r>
      <w:r w:rsidR="00945FA4">
        <w:t>l</w:t>
      </w:r>
      <w:r>
        <w:t>ess deciduous forest than study area</w:t>
      </w:r>
    </w:p>
    <w:p w14:paraId="5068EA2A" w14:textId="7CB204CE" w:rsidR="007427F6" w:rsidRDefault="007427F6" w:rsidP="007427F6">
      <w:pPr>
        <w:pStyle w:val="ListParagraph"/>
        <w:numPr>
          <w:ilvl w:val="0"/>
          <w:numId w:val="2"/>
        </w:numPr>
      </w:pPr>
      <w:r>
        <w:t>Higher river and road density than expected</w:t>
      </w:r>
    </w:p>
    <w:p w14:paraId="4EC2ED84" w14:textId="69CC8DF8" w:rsidR="007427F6" w:rsidRDefault="007427F6" w:rsidP="007427F6">
      <w:pPr>
        <w:pStyle w:val="ListParagraph"/>
        <w:numPr>
          <w:ilvl w:val="0"/>
          <w:numId w:val="2"/>
        </w:numPr>
      </w:pPr>
      <w:r>
        <w:t>Mean of 23 locations/bear, radio telemetry study</w:t>
      </w:r>
    </w:p>
    <w:p w14:paraId="74ED42AE" w14:textId="10E70EDF" w:rsidR="00DC0325" w:rsidRDefault="00DC0325" w:rsidP="00DC0325">
      <w:r>
        <w:t>The intentional and unintentional human food subsidy landscape for a large carnivore</w:t>
      </w:r>
    </w:p>
    <w:p w14:paraId="22E8D07E" w14:textId="49F8FE80" w:rsidR="00DC0325" w:rsidRDefault="00DC0325" w:rsidP="00DC0325">
      <w:pPr>
        <w:pStyle w:val="ListParagraph"/>
        <w:numPr>
          <w:ilvl w:val="0"/>
          <w:numId w:val="7"/>
        </w:numPr>
      </w:pPr>
      <w:r>
        <w:t xml:space="preserve">Across all sampling locations bears consumed mostly natural foods 60%, intentional foods 7%, and unintentional foods 32%. </w:t>
      </w:r>
    </w:p>
    <w:p w14:paraId="20205AB8" w14:textId="6015E21B" w:rsidR="00DC0325" w:rsidRDefault="00DC0325" w:rsidP="00DC0325">
      <w:pPr>
        <w:pStyle w:val="ListParagraph"/>
        <w:numPr>
          <w:ilvl w:val="0"/>
          <w:numId w:val="7"/>
        </w:numPr>
      </w:pPr>
      <w:r>
        <w:t>44% show moderate or high consumption of unintentional subsidies aka corn</w:t>
      </w:r>
    </w:p>
    <w:p w14:paraId="040D983F" w14:textId="340FAD9E" w:rsidR="00DC0325" w:rsidRDefault="00DC0325" w:rsidP="00DC0325">
      <w:pPr>
        <w:pStyle w:val="ListParagraph"/>
        <w:numPr>
          <w:ilvl w:val="0"/>
          <w:numId w:val="7"/>
        </w:numPr>
      </w:pPr>
      <w:r>
        <w:t>Consumption of corn associated with corn productivity, edge density of natural land cover and human footprint index. Inversely correlated with natural land cover and vegetation productivity</w:t>
      </w:r>
    </w:p>
    <w:p w14:paraId="604ACE5C" w14:textId="41B5F269" w:rsidR="00945FA4" w:rsidRDefault="00945FA4" w:rsidP="00945FA4">
      <w:r w:rsidRPr="00945FA4">
        <w:t>Wisconsin Black Bear Management Plan 2019-2029</w:t>
      </w:r>
    </w:p>
    <w:p w14:paraId="29D373C4" w14:textId="6D00B764" w:rsidR="00945FA4" w:rsidRDefault="00945FA4" w:rsidP="00945FA4">
      <w:pPr>
        <w:pStyle w:val="ListParagraph"/>
        <w:numPr>
          <w:ilvl w:val="0"/>
          <w:numId w:val="15"/>
        </w:numPr>
      </w:pPr>
      <w:r>
        <w:t xml:space="preserve">Annual noninvasive genetic mark-recapture estimates are cost-prohibitive </w:t>
      </w:r>
    </w:p>
    <w:p w14:paraId="3CE0A1E2" w14:textId="73C53B88" w:rsidR="00945FA4" w:rsidRDefault="00945FA4" w:rsidP="00945FA4">
      <w:pPr>
        <w:pStyle w:val="ListParagraph"/>
        <w:numPr>
          <w:ilvl w:val="0"/>
          <w:numId w:val="15"/>
        </w:numPr>
      </w:pPr>
      <w:r>
        <w:t>Current population model might be refined by inclusion of additional sources of population data and potential independent data sources should be explored to calibrate current model</w:t>
      </w:r>
    </w:p>
    <w:p w14:paraId="7252E173" w14:textId="2D0A73CD" w:rsidR="004217EE" w:rsidRDefault="004217EE" w:rsidP="00945FA4">
      <w:pPr>
        <w:pStyle w:val="ListParagraph"/>
        <w:numPr>
          <w:ilvl w:val="0"/>
          <w:numId w:val="15"/>
        </w:numPr>
      </w:pPr>
      <w:r>
        <w:t>Both of previous bullet points work towards the strategy to improve the ability to estimate black bears and their response to management actions</w:t>
      </w:r>
    </w:p>
    <w:p w14:paraId="4EEE4F30" w14:textId="55E26DBF" w:rsidR="004217EE" w:rsidRDefault="004217EE" w:rsidP="00945FA4">
      <w:pPr>
        <w:pStyle w:val="ListParagraph"/>
        <w:numPr>
          <w:ilvl w:val="0"/>
          <w:numId w:val="15"/>
        </w:numPr>
      </w:pPr>
      <w:r>
        <w:t>Further black bear range expansion and population increase in Wisconsin is likely</w:t>
      </w:r>
    </w:p>
    <w:p w14:paraId="0C2C5A74" w14:textId="3B885613" w:rsidR="004217EE" w:rsidRDefault="004217EE" w:rsidP="00945FA4">
      <w:pPr>
        <w:pStyle w:val="ListParagraph"/>
        <w:numPr>
          <w:ilvl w:val="0"/>
          <w:numId w:val="15"/>
        </w:numPr>
      </w:pPr>
      <w:r>
        <w:t>Separate objective to ensure a healthy and sustainable black bear population in Wisconsin</w:t>
      </w:r>
    </w:p>
    <w:p w14:paraId="514BB7CB" w14:textId="69BE0B5B" w:rsidR="004217EE" w:rsidRDefault="004217EE" w:rsidP="00945FA4">
      <w:pPr>
        <w:pStyle w:val="ListParagraph"/>
        <w:numPr>
          <w:ilvl w:val="0"/>
          <w:numId w:val="15"/>
        </w:numPr>
      </w:pPr>
      <w:r>
        <w:lastRenderedPageBreak/>
        <w:t>As part of this objective it is said here as well to validate and calibrate black bear population model via periodic estimation of population size, talking I think about the AAH model the further out you get from a known value the greater uncertainty in predictions and riskier decisions</w:t>
      </w:r>
    </w:p>
    <w:p w14:paraId="7DDD1824" w14:textId="04990565" w:rsidR="001F0C38" w:rsidRDefault="001F0C38" w:rsidP="00945FA4">
      <w:pPr>
        <w:pStyle w:val="ListParagraph"/>
        <w:numPr>
          <w:ilvl w:val="0"/>
          <w:numId w:val="15"/>
        </w:numPr>
      </w:pPr>
      <w:r>
        <w:t>Mark-recapture estimation technique bear population 2.6 higher than suggested by population models</w:t>
      </w:r>
    </w:p>
    <w:p w14:paraId="603C567F" w14:textId="77777777" w:rsidR="00D15B3A" w:rsidRDefault="00D15B3A" w:rsidP="00D15B3A"/>
    <w:p w14:paraId="322826FF" w14:textId="78834FF8" w:rsidR="007427F6" w:rsidRDefault="007427F6" w:rsidP="007427F6">
      <w:pPr>
        <w:rPr>
          <w:b/>
          <w:bCs/>
        </w:rPr>
      </w:pPr>
      <w:r w:rsidRPr="007427F6">
        <w:rPr>
          <w:b/>
          <w:bCs/>
        </w:rPr>
        <w:t>Unmarked Abundance estimation</w:t>
      </w:r>
    </w:p>
    <w:p w14:paraId="49A90173" w14:textId="123DA5C5" w:rsidR="007427F6" w:rsidRDefault="007427F6" w:rsidP="007427F6">
      <w:r w:rsidRPr="007427F6">
        <w:t>Abundance estimation of unmarked animals based on camera-trap data</w:t>
      </w:r>
    </w:p>
    <w:p w14:paraId="307CBDDD" w14:textId="11F47921" w:rsidR="007427F6" w:rsidRDefault="007427F6" w:rsidP="007427F6">
      <w:pPr>
        <w:pStyle w:val="ListParagraph"/>
        <w:numPr>
          <w:ilvl w:val="0"/>
          <w:numId w:val="3"/>
        </w:numPr>
      </w:pPr>
      <w:r>
        <w:t xml:space="preserve">Estimating abundance of unmarked animal populations remains a significant challenge </w:t>
      </w:r>
    </w:p>
    <w:p w14:paraId="6D2DCED0" w14:textId="2D2BB9D7" w:rsidR="007427F6" w:rsidRDefault="007427F6" w:rsidP="007427F6">
      <w:pPr>
        <w:pStyle w:val="ListParagraph"/>
        <w:numPr>
          <w:ilvl w:val="0"/>
          <w:numId w:val="3"/>
        </w:numPr>
      </w:pPr>
      <w:r>
        <w:t>Multiple detections of an unmarked animal at a camera could represent multiple mobile individuals or single relatively sedentary individual</w:t>
      </w:r>
    </w:p>
    <w:p w14:paraId="6D50AE01" w14:textId="12957271" w:rsidR="007427F6" w:rsidRDefault="007427F6" w:rsidP="007427F6">
      <w:pPr>
        <w:pStyle w:val="ListParagraph"/>
        <w:numPr>
          <w:ilvl w:val="0"/>
          <w:numId w:val="3"/>
        </w:numPr>
      </w:pPr>
      <w:r>
        <w:t>Cameras do not always detect an animal that is present so this correction needs to be included in abundance estimate</w:t>
      </w:r>
    </w:p>
    <w:p w14:paraId="55408AEA" w14:textId="43C2E1E3" w:rsidR="007427F6" w:rsidRDefault="007427F6" w:rsidP="007427F6">
      <w:pPr>
        <w:pStyle w:val="ListParagraph"/>
        <w:numPr>
          <w:ilvl w:val="0"/>
          <w:numId w:val="3"/>
        </w:numPr>
      </w:pPr>
      <w:r>
        <w:t>Effective sampling area of camera – area a camera samples given how far detected animals move -- is generally unknown</w:t>
      </w:r>
    </w:p>
    <w:p w14:paraId="642FC5A0" w14:textId="026B18A6" w:rsidR="007427F6" w:rsidRDefault="00754EEE" w:rsidP="007427F6">
      <w:pPr>
        <w:pStyle w:val="ListParagraph"/>
        <w:numPr>
          <w:ilvl w:val="0"/>
          <w:numId w:val="3"/>
        </w:numPr>
      </w:pPr>
      <w:r>
        <w:t>Site-structured models estimate abundance at camera location but because animals move beyond detection viewshed the effective sampling area is unknown</w:t>
      </w:r>
    </w:p>
    <w:p w14:paraId="68A51E05" w14:textId="044695F9" w:rsidR="00754EEE" w:rsidRDefault="00754EEE" w:rsidP="007427F6">
      <w:pPr>
        <w:pStyle w:val="ListParagraph"/>
        <w:numPr>
          <w:ilvl w:val="0"/>
          <w:numId w:val="3"/>
        </w:numPr>
      </w:pPr>
      <w:r>
        <w:t>Arbitrary defining of predictive grid cells</w:t>
      </w:r>
    </w:p>
    <w:p w14:paraId="08BE7315" w14:textId="74010585" w:rsidR="00754EEE" w:rsidRDefault="00754EEE" w:rsidP="007427F6">
      <w:pPr>
        <w:pStyle w:val="ListParagraph"/>
        <w:numPr>
          <w:ilvl w:val="0"/>
          <w:numId w:val="3"/>
        </w:numPr>
      </w:pPr>
      <w:r>
        <w:t>Sensitive to assumption violations, so recommended to treat as index of relative abundance</w:t>
      </w:r>
    </w:p>
    <w:p w14:paraId="65A1F469" w14:textId="4B19DDBF" w:rsidR="00754EEE" w:rsidRDefault="00754EEE" w:rsidP="007427F6">
      <w:pPr>
        <w:pStyle w:val="ListParagraph"/>
        <w:numPr>
          <w:ilvl w:val="0"/>
          <w:numId w:val="3"/>
        </w:numPr>
      </w:pPr>
      <w:r>
        <w:t>USCR require spatially correlated detection data with individual animals detected at multiple cameras</w:t>
      </w:r>
    </w:p>
    <w:p w14:paraId="16A1D992" w14:textId="4E9792AC" w:rsidR="00754EEE" w:rsidRDefault="00754EEE" w:rsidP="007427F6">
      <w:pPr>
        <w:pStyle w:val="ListParagraph"/>
        <w:numPr>
          <w:ilvl w:val="0"/>
          <w:numId w:val="3"/>
        </w:numPr>
      </w:pPr>
      <w:r>
        <w:t>REM TTE- detection viewshed, animal movement speed required cameras placed randomly</w:t>
      </w:r>
      <w:r w:rsidR="0023703F">
        <w:t>, TTE requires perfect detection same difficulties extrapolating to effective sampling area</w:t>
      </w:r>
    </w:p>
    <w:p w14:paraId="40D79F5B" w14:textId="13455012" w:rsidR="0023703F" w:rsidRDefault="0023703F" w:rsidP="007427F6">
      <w:pPr>
        <w:pStyle w:val="ListParagraph"/>
        <w:numPr>
          <w:ilvl w:val="0"/>
          <w:numId w:val="3"/>
        </w:numPr>
      </w:pPr>
      <w:r>
        <w:t>STE and IS- similar assumptions to TTE perfect detection, need to set to Timelapse photos and measure viewshed of area, can’t accommodate heterogeneity in abundance, extrapolation to sampling area</w:t>
      </w:r>
    </w:p>
    <w:p w14:paraId="399DE296" w14:textId="270557E4" w:rsidR="0023703F" w:rsidRDefault="0023703F" w:rsidP="007427F6">
      <w:pPr>
        <w:pStyle w:val="ListParagraph"/>
        <w:numPr>
          <w:ilvl w:val="0"/>
          <w:numId w:val="3"/>
        </w:numPr>
      </w:pPr>
      <w:r>
        <w:t>Distance sampling- need distance to detected animal in each photo, detectors randomly located with respect to animals</w:t>
      </w:r>
    </w:p>
    <w:p w14:paraId="7ACABA5C" w14:textId="476F8DD6" w:rsidR="00EC667D" w:rsidRDefault="00EC667D" w:rsidP="00EC667D">
      <w:pPr>
        <w:rPr>
          <w:b/>
          <w:bCs/>
        </w:rPr>
      </w:pPr>
      <w:r>
        <w:rPr>
          <w:b/>
          <w:bCs/>
        </w:rPr>
        <w:t>Modeling Approach</w:t>
      </w:r>
    </w:p>
    <w:p w14:paraId="4C7ABD7A" w14:textId="43FEF6EB" w:rsidR="00EC667D" w:rsidRDefault="00EC667D" w:rsidP="00EC667D">
      <w:r w:rsidRPr="00EC667D">
        <w:t>Harvest restrictions fail to influence population abundance</w:t>
      </w:r>
    </w:p>
    <w:p w14:paraId="44297B75" w14:textId="51EB2170" w:rsidR="00EC667D" w:rsidRDefault="00EC667D" w:rsidP="00EC667D">
      <w:pPr>
        <w:pStyle w:val="ListParagraph"/>
        <w:numPr>
          <w:ilvl w:val="0"/>
          <w:numId w:val="4"/>
        </w:numPr>
      </w:pPr>
      <w:r>
        <w:lastRenderedPageBreak/>
        <w:t xml:space="preserve">We analyzed data for 2019-2024 in a year-stratified approach with </w:t>
      </w:r>
      <w:r w:rsidR="00F539AC">
        <w:t>year as a linear effect to evaluate population trend</w:t>
      </w:r>
    </w:p>
    <w:p w14:paraId="423B6C80" w14:textId="2497A56A" w:rsidR="00EB5504" w:rsidRDefault="00EB5504" w:rsidP="00EB5504">
      <w:r w:rsidRPr="00EB5504">
        <w:t>ESTIMATING ABUNDANCE FROM REPEATED PRESENCE–ABSENCE DATA OR POINT COUNTS</w:t>
      </w:r>
    </w:p>
    <w:p w14:paraId="7EC2CD96" w14:textId="77777777" w:rsidR="00EB5504" w:rsidRDefault="00EB5504" w:rsidP="00EB5504">
      <w:pPr>
        <w:pStyle w:val="ListParagraph"/>
        <w:numPr>
          <w:ilvl w:val="0"/>
          <w:numId w:val="4"/>
        </w:numPr>
      </w:pPr>
    </w:p>
    <w:p w14:paraId="1E3678D4" w14:textId="46D10033" w:rsidR="00AD6FA3" w:rsidRDefault="00AD6FA3" w:rsidP="00AD6FA3">
      <w:pPr>
        <w:rPr>
          <w:b/>
          <w:bCs/>
        </w:rPr>
      </w:pPr>
      <w:r>
        <w:rPr>
          <w:b/>
          <w:bCs/>
        </w:rPr>
        <w:t>Spatial scale of environmental variables on abundance</w:t>
      </w:r>
    </w:p>
    <w:p w14:paraId="65D4F13D" w14:textId="43F4B3B1" w:rsidR="00AD6FA3" w:rsidRDefault="00AD6FA3" w:rsidP="00AD6FA3">
      <w:r>
        <w:t>What determines the spatial extent of landscape effects on species?</w:t>
      </w:r>
    </w:p>
    <w:p w14:paraId="5FB12FB7" w14:textId="27447F97" w:rsidR="00AD6FA3" w:rsidRDefault="00AD6FA3" w:rsidP="00AD6FA3">
      <w:pPr>
        <w:pStyle w:val="ListParagraph"/>
        <w:numPr>
          <w:ilvl w:val="0"/>
          <w:numId w:val="4"/>
        </w:numPr>
      </w:pPr>
      <w:r>
        <w:t>Scale at which environmental variables are measured can influence the strength of effect and whether it is considered significant, relative importance of different environmental variables, the direction of effect.</w:t>
      </w:r>
    </w:p>
    <w:p w14:paraId="602224D2" w14:textId="7EE51FD9" w:rsidR="00AD6FA3" w:rsidRDefault="00AD6FA3" w:rsidP="00AD6FA3">
      <w:pPr>
        <w:pStyle w:val="ListParagraph"/>
        <w:numPr>
          <w:ilvl w:val="0"/>
          <w:numId w:val="4"/>
        </w:numPr>
      </w:pPr>
      <w:r>
        <w:t xml:space="preserve">To ensure we uncover important relationships between a response and an environmental variable we must measure </w:t>
      </w:r>
      <w:r w:rsidR="00C473DC">
        <w:t>the variable at the scale at which the relationship is the strongest.</w:t>
      </w:r>
    </w:p>
    <w:p w14:paraId="242CB4E7" w14:textId="10FCDD91" w:rsidR="00C473DC" w:rsidRDefault="00C473DC" w:rsidP="00AD6FA3">
      <w:pPr>
        <w:pStyle w:val="ListParagraph"/>
        <w:numPr>
          <w:ilvl w:val="0"/>
          <w:numId w:val="4"/>
        </w:numPr>
      </w:pPr>
      <w:r>
        <w:t>We assume this to be at the scale at which a species perceives the landscape</w:t>
      </w:r>
    </w:p>
    <w:p w14:paraId="7ADD6D5F" w14:textId="720E2A0F" w:rsidR="00C473DC" w:rsidRDefault="00C473DC" w:rsidP="00AD6FA3">
      <w:pPr>
        <w:pStyle w:val="ListParagraph"/>
        <w:numPr>
          <w:ilvl w:val="0"/>
          <w:numId w:val="4"/>
        </w:numPr>
      </w:pPr>
      <w:r>
        <w:t xml:space="preserve">We don’t know </w:t>
      </w:r>
      <w:r w:rsidR="009E78D7">
        <w:t>usually know the best scale of effect and estimate it using multiscale studies choosing the scale that produces the best model according to some criteria</w:t>
      </w:r>
    </w:p>
    <w:p w14:paraId="1F286FDA" w14:textId="395D22D9" w:rsidR="00373FD7" w:rsidRDefault="00373FD7" w:rsidP="00AD6FA3">
      <w:pPr>
        <w:pStyle w:val="ListParagraph"/>
        <w:numPr>
          <w:ilvl w:val="0"/>
          <w:numId w:val="4"/>
        </w:numPr>
      </w:pPr>
      <w:r>
        <w:t>Decrease in variation with increasing scales leads to smaller effect sizes and selection for smaller scales, exacerbated by overlapping of spatial scales. Could be made worse by greater correlation among scales</w:t>
      </w:r>
    </w:p>
    <w:p w14:paraId="225FEC59" w14:textId="2DABE947" w:rsidR="00373FD7" w:rsidRDefault="00373FD7" w:rsidP="00AD6FA3">
      <w:pPr>
        <w:pStyle w:val="ListParagraph"/>
        <w:numPr>
          <w:ilvl w:val="0"/>
          <w:numId w:val="4"/>
        </w:numPr>
      </w:pPr>
      <w:r>
        <w:t>Scale of effect is smaller for landscape variables influencing breeding or foraging success than those influencing dispersal</w:t>
      </w:r>
    </w:p>
    <w:p w14:paraId="0A54D3E5" w14:textId="1E7EE034" w:rsidR="00373FD7" w:rsidRDefault="00373FD7" w:rsidP="00373FD7">
      <w:r>
        <w:t>Recent Methodological Solutions to Identifying Scales of Effect in Multi-scale Modeling</w:t>
      </w:r>
    </w:p>
    <w:p w14:paraId="7384EBA9" w14:textId="3258D559" w:rsidR="00F05234" w:rsidRDefault="00F05234" w:rsidP="00F05234">
      <w:pPr>
        <w:pStyle w:val="ListParagraph"/>
        <w:numPr>
          <w:ilvl w:val="0"/>
          <w:numId w:val="6"/>
        </w:numPr>
      </w:pPr>
      <w:r>
        <w:t>A single optimal scale not often the case</w:t>
      </w:r>
    </w:p>
    <w:p w14:paraId="391EEF3E" w14:textId="24B36A75" w:rsidR="00373FD7" w:rsidRDefault="00373FD7" w:rsidP="00373FD7">
      <w:r w:rsidRPr="00373FD7">
        <w:t>A Bayesian method for assessing multi-scale species-habitat relationships</w:t>
      </w:r>
    </w:p>
    <w:p w14:paraId="5240479E" w14:textId="1A01F929" w:rsidR="00373FD7" w:rsidRDefault="00373FD7" w:rsidP="00373FD7">
      <w:pPr>
        <w:pStyle w:val="ListParagraph"/>
        <w:numPr>
          <w:ilvl w:val="0"/>
          <w:numId w:val="5"/>
        </w:numPr>
      </w:pPr>
      <w:r>
        <w:t>BLISS outperformed AIC and model selection methods in accurately assessing scale under different between predictor correlations in simulation study.</w:t>
      </w:r>
    </w:p>
    <w:p w14:paraId="68AF15C7" w14:textId="43F8DAF6" w:rsidR="00373FD7" w:rsidRDefault="00373FD7" w:rsidP="00373FD7">
      <w:pPr>
        <w:pStyle w:val="ListParagraph"/>
        <w:numPr>
          <w:ilvl w:val="0"/>
          <w:numId w:val="5"/>
        </w:numPr>
      </w:pPr>
      <w:r>
        <w:t xml:space="preserve">Unbiased and precise estimates of scale of effect and effect estimates </w:t>
      </w:r>
      <w:r w:rsidR="00B32DE9">
        <w:t>with scale autocorrelation</w:t>
      </w:r>
    </w:p>
    <w:p w14:paraId="55EAE2A6" w14:textId="1C3748A3" w:rsidR="00A27770" w:rsidRDefault="00A27770" w:rsidP="00A27770">
      <w:r w:rsidRPr="00A27770">
        <w:t>In 2022, we identified an area for improvement to the age-at-harvest modeling framework.</w:t>
      </w:r>
      <w:r w:rsidRPr="00A27770">
        <w:br/>
        <w:t>The model as previously used did not incorporate a metric for harvest effort, and</w:t>
      </w:r>
      <w:r w:rsidRPr="00A27770">
        <w:br/>
        <w:t>consequently may be inferring changes in bear harvest survival resulting from shifts in</w:t>
      </w:r>
      <w:r w:rsidRPr="00A27770">
        <w:br/>
        <w:t>harvest effort.</w:t>
      </w:r>
    </w:p>
    <w:p w14:paraId="0A9DB77D" w14:textId="77777777" w:rsidR="00945FA4" w:rsidRDefault="00945FA4" w:rsidP="00945FA4">
      <w:pPr>
        <w:rPr>
          <w:b/>
          <w:bCs/>
        </w:rPr>
      </w:pPr>
      <w:r w:rsidRPr="008F5770">
        <w:rPr>
          <w:b/>
          <w:bCs/>
        </w:rPr>
        <w:lastRenderedPageBreak/>
        <w:t>Monitoring species abundance and distribution at the landscape scale</w:t>
      </w:r>
    </w:p>
    <w:p w14:paraId="5F94E41D" w14:textId="77777777" w:rsidR="00945FA4" w:rsidRDefault="00945FA4" w:rsidP="00945FA4">
      <w:pPr>
        <w:rPr>
          <w:b/>
          <w:bCs/>
        </w:rPr>
      </w:pPr>
      <w:r>
        <w:rPr>
          <w:b/>
          <w:bCs/>
        </w:rPr>
        <w:t>Jones</w:t>
      </w:r>
    </w:p>
    <w:p w14:paraId="6E002518" w14:textId="77777777" w:rsidR="00945FA4" w:rsidRDefault="00945FA4" w:rsidP="00945FA4">
      <w:pPr>
        <w:pStyle w:val="ListParagraph"/>
        <w:numPr>
          <w:ilvl w:val="0"/>
          <w:numId w:val="8"/>
        </w:numPr>
        <w:spacing w:line="259" w:lineRule="auto"/>
      </w:pPr>
      <w:r>
        <w:t xml:space="preserve">Introduction to a special issue, so sounds a little bit like a review but pretty short. </w:t>
      </w:r>
    </w:p>
    <w:p w14:paraId="169BED87" w14:textId="77777777" w:rsidR="00945FA4" w:rsidRDefault="00945FA4" w:rsidP="00945FA4">
      <w:pPr>
        <w:pStyle w:val="ListParagraph"/>
        <w:numPr>
          <w:ilvl w:val="0"/>
          <w:numId w:val="8"/>
        </w:numPr>
        <w:spacing w:line="259" w:lineRule="auto"/>
      </w:pPr>
      <w:r>
        <w:t>Mentions validation of low-cost methods against more data-intensive methods which we plan on comparing Snapshot trends to other DNR wildlife surveys</w:t>
      </w:r>
    </w:p>
    <w:p w14:paraId="76F4056B" w14:textId="77777777" w:rsidR="00945FA4" w:rsidRDefault="00945FA4" w:rsidP="00945FA4">
      <w:pPr>
        <w:pStyle w:val="ListParagraph"/>
        <w:numPr>
          <w:ilvl w:val="0"/>
          <w:numId w:val="8"/>
        </w:numPr>
        <w:spacing w:line="259" w:lineRule="auto"/>
      </w:pPr>
      <w:r>
        <w:t>Usefulness of long term data to inform landscape-scale conservation in the future? Is this something we would want to discuss in the paper</w:t>
      </w:r>
    </w:p>
    <w:p w14:paraId="0A80CE9D" w14:textId="77777777" w:rsidR="00945FA4" w:rsidRDefault="00945FA4" w:rsidP="00945FA4">
      <w:pPr>
        <w:rPr>
          <w:b/>
          <w:bCs/>
        </w:rPr>
      </w:pPr>
      <w:r w:rsidRPr="00FC2594">
        <w:rPr>
          <w:b/>
          <w:bCs/>
        </w:rPr>
        <w:t>Large-scale and long-term wildlife research and monitoring using camera traps: a continental synthesis</w:t>
      </w:r>
    </w:p>
    <w:p w14:paraId="0A831084" w14:textId="77777777" w:rsidR="00945FA4" w:rsidRDefault="00945FA4" w:rsidP="00945FA4">
      <w:pPr>
        <w:rPr>
          <w:b/>
          <w:bCs/>
        </w:rPr>
      </w:pPr>
      <w:r w:rsidRPr="00FC2594">
        <w:rPr>
          <w:b/>
          <w:bCs/>
        </w:rPr>
        <w:t>Bruce et al.</w:t>
      </w:r>
    </w:p>
    <w:p w14:paraId="611D4343" w14:textId="77777777" w:rsidR="00945FA4" w:rsidRDefault="00945FA4" w:rsidP="00945FA4">
      <w:pPr>
        <w:pStyle w:val="ListParagraph"/>
        <w:numPr>
          <w:ilvl w:val="0"/>
          <w:numId w:val="9"/>
        </w:numPr>
        <w:spacing w:line="259" w:lineRule="auto"/>
      </w:pPr>
      <w:r>
        <w:t>35% of camera studies in Australia longer than 1 year</w:t>
      </w:r>
    </w:p>
    <w:p w14:paraId="3AAA3ABB" w14:textId="77777777" w:rsidR="00945FA4" w:rsidRDefault="00945FA4" w:rsidP="00945FA4">
      <w:pPr>
        <w:pStyle w:val="ListParagraph"/>
        <w:numPr>
          <w:ilvl w:val="0"/>
          <w:numId w:val="9"/>
        </w:numPr>
        <w:spacing w:line="259" w:lineRule="auto"/>
      </w:pPr>
      <w:r>
        <w:t>2/3 of studies single year and single site</w:t>
      </w:r>
    </w:p>
    <w:p w14:paraId="2F9BE629" w14:textId="77777777" w:rsidR="00945FA4" w:rsidRDefault="00945FA4" w:rsidP="00945FA4"/>
    <w:p w14:paraId="0AD97EA7" w14:textId="77777777" w:rsidR="00945FA4" w:rsidRDefault="00945FA4" w:rsidP="00945FA4">
      <w:pPr>
        <w:rPr>
          <w:b/>
          <w:bCs/>
        </w:rPr>
      </w:pPr>
      <w:r w:rsidRPr="00CF686D">
        <w:rPr>
          <w:b/>
          <w:bCs/>
        </w:rPr>
        <w:t>Landscape-scale population trends in the occurrence and abundance of wildlife populations using long term camera-trapping data</w:t>
      </w:r>
    </w:p>
    <w:p w14:paraId="54DC7248" w14:textId="77777777" w:rsidR="00945FA4" w:rsidRDefault="00945FA4" w:rsidP="00945FA4">
      <w:pPr>
        <w:rPr>
          <w:b/>
          <w:bCs/>
        </w:rPr>
      </w:pPr>
      <w:r>
        <w:rPr>
          <w:b/>
          <w:bCs/>
        </w:rPr>
        <w:t>Twining et al.</w:t>
      </w:r>
    </w:p>
    <w:p w14:paraId="2819150A" w14:textId="77777777" w:rsidR="00945FA4" w:rsidRPr="00D93319" w:rsidRDefault="00945FA4" w:rsidP="00945FA4">
      <w:pPr>
        <w:pStyle w:val="ListParagraph"/>
        <w:numPr>
          <w:ilvl w:val="0"/>
          <w:numId w:val="10"/>
        </w:numPr>
        <w:spacing w:line="259" w:lineRule="auto"/>
        <w:rPr>
          <w:b/>
          <w:bCs/>
        </w:rPr>
      </w:pPr>
      <w:r>
        <w:t>Camera data from 2014, 2015, 2019, 2020, 2021, used “stacked” data approach with each camera site x year being the sample unit but didn’t account for it with random effect in model? Because used unmarked package. Used RN models for more common species deer, red fox, coyote and occupancy models for rare species gray fox, turkey and bobcat.</w:t>
      </w:r>
    </w:p>
    <w:p w14:paraId="6548F526" w14:textId="77777777" w:rsidR="00945FA4" w:rsidRPr="00D93319" w:rsidRDefault="00945FA4" w:rsidP="00945FA4">
      <w:pPr>
        <w:pStyle w:val="ListParagraph"/>
        <w:numPr>
          <w:ilvl w:val="0"/>
          <w:numId w:val="10"/>
        </w:numPr>
        <w:spacing w:line="259" w:lineRule="auto"/>
        <w:rPr>
          <w:b/>
          <w:bCs/>
        </w:rPr>
      </w:pPr>
      <w:r>
        <w:t>Posed as “gold standard” quantitative monitoring program for terrestrial mammals and reviewed trends across time and space, meant as accurate assessment of population trends across western NY</w:t>
      </w:r>
    </w:p>
    <w:p w14:paraId="3AF1AED0" w14:textId="77777777" w:rsidR="00945FA4" w:rsidRPr="00E8709C" w:rsidRDefault="00945FA4" w:rsidP="00945FA4">
      <w:pPr>
        <w:pStyle w:val="ListParagraph"/>
        <w:numPr>
          <w:ilvl w:val="0"/>
          <w:numId w:val="10"/>
        </w:numPr>
        <w:spacing w:line="259" w:lineRule="auto"/>
        <w:rPr>
          <w:b/>
          <w:bCs/>
        </w:rPr>
      </w:pPr>
      <w:r>
        <w:t>Points out harvest and other publicly provided data can’t separate observation process from abundance process which we aren’t separating out either with current approach</w:t>
      </w:r>
    </w:p>
    <w:p w14:paraId="64CC2CA4" w14:textId="77777777" w:rsidR="00945FA4" w:rsidRPr="00E8709C" w:rsidRDefault="00945FA4" w:rsidP="00945FA4">
      <w:pPr>
        <w:pStyle w:val="ListParagraph"/>
        <w:numPr>
          <w:ilvl w:val="0"/>
          <w:numId w:val="10"/>
        </w:numPr>
        <w:spacing w:line="259" w:lineRule="auto"/>
        <w:rPr>
          <w:b/>
          <w:bCs/>
        </w:rPr>
      </w:pPr>
      <w:r>
        <w:t>Used baited camera stations</w:t>
      </w:r>
    </w:p>
    <w:p w14:paraId="07D96992" w14:textId="77777777" w:rsidR="00945FA4" w:rsidRPr="00E8709C" w:rsidRDefault="00945FA4" w:rsidP="00945FA4">
      <w:pPr>
        <w:pStyle w:val="ListParagraph"/>
        <w:numPr>
          <w:ilvl w:val="0"/>
          <w:numId w:val="10"/>
        </w:numPr>
        <w:spacing w:line="259" w:lineRule="auto"/>
        <w:rPr>
          <w:b/>
          <w:bCs/>
        </w:rPr>
      </w:pPr>
      <w:r>
        <w:t>Placed context of trends in more long term story of species in NY (e.g. recolonization of turkey, expansion of coyotes into NE with extirpation of larger predators)</w:t>
      </w:r>
    </w:p>
    <w:p w14:paraId="3AB3BF49" w14:textId="77777777" w:rsidR="00945FA4" w:rsidRPr="00504C78" w:rsidRDefault="00945FA4" w:rsidP="00945FA4">
      <w:pPr>
        <w:pStyle w:val="ListParagraph"/>
        <w:numPr>
          <w:ilvl w:val="0"/>
          <w:numId w:val="10"/>
        </w:numPr>
        <w:spacing w:line="259" w:lineRule="auto"/>
        <w:rPr>
          <w:b/>
          <w:bCs/>
        </w:rPr>
      </w:pPr>
      <w:r>
        <w:t>Included management concerns (disease in gray fox) and future study directions (look at bobcats and grey fox who have low occupancy, longer term monitoring of turkeys based on equivocal evidence)</w:t>
      </w:r>
    </w:p>
    <w:p w14:paraId="1CBE24AB" w14:textId="77777777" w:rsidR="00945FA4" w:rsidRDefault="00945FA4" w:rsidP="00945FA4">
      <w:pPr>
        <w:rPr>
          <w:b/>
          <w:bCs/>
        </w:rPr>
      </w:pPr>
      <w:r w:rsidRPr="00504C78">
        <w:rPr>
          <w:b/>
          <w:bCs/>
        </w:rPr>
        <w:t>Efficient Species-Level Monitoring at the Landscape Scale</w:t>
      </w:r>
    </w:p>
    <w:p w14:paraId="45918318" w14:textId="77777777" w:rsidR="00945FA4" w:rsidRDefault="00945FA4" w:rsidP="00945FA4">
      <w:pPr>
        <w:rPr>
          <w:b/>
          <w:bCs/>
        </w:rPr>
      </w:pPr>
      <w:r>
        <w:rPr>
          <w:b/>
          <w:bCs/>
        </w:rPr>
        <w:lastRenderedPageBreak/>
        <w:t>Noon et al. 2012</w:t>
      </w:r>
    </w:p>
    <w:p w14:paraId="7A5F1ACA" w14:textId="77777777" w:rsidR="00945FA4" w:rsidRPr="00462A14" w:rsidRDefault="00945FA4" w:rsidP="00945FA4">
      <w:pPr>
        <w:pStyle w:val="ListParagraph"/>
        <w:numPr>
          <w:ilvl w:val="0"/>
          <w:numId w:val="11"/>
        </w:numPr>
        <w:spacing w:line="259" w:lineRule="auto"/>
      </w:pPr>
      <w:r>
        <w:t>Proposes and rationalizes use of occupancy as state variable to quantify species status over time.</w:t>
      </w:r>
      <w:r w:rsidRPr="004A58AE">
        <w:t xml:space="preserve"> </w:t>
      </w:r>
      <w:r>
        <w:t>Spends most of the paper doing so, not sure how useful this paper is, might be good for discussion?</w:t>
      </w:r>
    </w:p>
    <w:p w14:paraId="2D93A6E1" w14:textId="77777777" w:rsidR="00945FA4" w:rsidRDefault="00945FA4" w:rsidP="00945FA4">
      <w:pPr>
        <w:rPr>
          <w:b/>
          <w:bCs/>
        </w:rPr>
      </w:pPr>
    </w:p>
    <w:p w14:paraId="1475C402" w14:textId="77777777" w:rsidR="00945FA4" w:rsidRDefault="00945FA4" w:rsidP="00945FA4">
      <w:pPr>
        <w:rPr>
          <w:b/>
          <w:bCs/>
        </w:rPr>
      </w:pPr>
      <w:r w:rsidRPr="00504C78">
        <w:rPr>
          <w:b/>
          <w:bCs/>
        </w:rPr>
        <w:t>Why We Need to Invest in Large</w:t>
      </w:r>
      <w:r w:rsidRPr="00504C78">
        <w:rPr>
          <w:rFonts w:ascii="Cambria Math" w:hAnsi="Cambria Math" w:cs="Cambria Math"/>
          <w:b/>
          <w:bCs/>
        </w:rPr>
        <w:t>‑</w:t>
      </w:r>
      <w:r w:rsidRPr="00504C78">
        <w:rPr>
          <w:b/>
          <w:bCs/>
        </w:rPr>
        <w:t>Scale, Long</w:t>
      </w:r>
      <w:r w:rsidRPr="00504C78">
        <w:rPr>
          <w:rFonts w:ascii="Cambria Math" w:hAnsi="Cambria Math" w:cs="Cambria Math"/>
          <w:b/>
          <w:bCs/>
        </w:rPr>
        <w:t>‑</w:t>
      </w:r>
      <w:r w:rsidRPr="00504C78">
        <w:rPr>
          <w:b/>
          <w:bCs/>
        </w:rPr>
        <w:t>Term Monitoring Programs in</w:t>
      </w:r>
      <w:r w:rsidRPr="00504C78">
        <w:rPr>
          <w:rFonts w:ascii="Aptos" w:hAnsi="Aptos" w:cs="Aptos"/>
          <w:b/>
          <w:bCs/>
        </w:rPr>
        <w:t> </w:t>
      </w:r>
      <w:r w:rsidRPr="00504C78">
        <w:rPr>
          <w:b/>
          <w:bCs/>
        </w:rPr>
        <w:t>Landscape Ecology and</w:t>
      </w:r>
      <w:r w:rsidRPr="00504C78">
        <w:rPr>
          <w:rFonts w:ascii="Aptos" w:hAnsi="Aptos" w:cs="Aptos"/>
          <w:b/>
          <w:bCs/>
        </w:rPr>
        <w:t> </w:t>
      </w:r>
      <w:r w:rsidRPr="00504C78">
        <w:rPr>
          <w:b/>
          <w:bCs/>
        </w:rPr>
        <w:t>Conservation Biology</w:t>
      </w:r>
    </w:p>
    <w:p w14:paraId="04ED3209" w14:textId="77777777" w:rsidR="00945FA4" w:rsidRDefault="00945FA4" w:rsidP="00945FA4">
      <w:pPr>
        <w:rPr>
          <w:b/>
          <w:bCs/>
        </w:rPr>
      </w:pPr>
      <w:r>
        <w:rPr>
          <w:b/>
          <w:bCs/>
        </w:rPr>
        <w:t>Lindenmayer et al. 2022</w:t>
      </w:r>
    </w:p>
    <w:p w14:paraId="1AA52451" w14:textId="77777777" w:rsidR="00945FA4" w:rsidRDefault="00945FA4" w:rsidP="00945FA4">
      <w:pPr>
        <w:pStyle w:val="ListParagraph"/>
        <w:numPr>
          <w:ilvl w:val="0"/>
          <w:numId w:val="11"/>
        </w:numPr>
        <w:spacing w:line="259" w:lineRule="auto"/>
      </w:pPr>
      <w:r>
        <w:t>Time an important variable with large effect sizes in landscapes undergoing environmental change, responses of species can be dynamic</w:t>
      </w:r>
    </w:p>
    <w:p w14:paraId="4C6EEEDF" w14:textId="77777777" w:rsidR="00945FA4" w:rsidRPr="004A58AE" w:rsidRDefault="00945FA4" w:rsidP="00945FA4">
      <w:pPr>
        <w:pStyle w:val="ListParagraph"/>
        <w:numPr>
          <w:ilvl w:val="0"/>
          <w:numId w:val="11"/>
        </w:numPr>
        <w:spacing w:line="259" w:lineRule="auto"/>
      </w:pPr>
      <w:r>
        <w:t>Really more of a rationale for the utility of long-term, large-scale ecological monitoring, how it can be useful and how to best design it</w:t>
      </w:r>
    </w:p>
    <w:p w14:paraId="56CECABC" w14:textId="77777777" w:rsidR="00945FA4" w:rsidRDefault="00945FA4" w:rsidP="00945FA4">
      <w:pPr>
        <w:rPr>
          <w:b/>
          <w:bCs/>
        </w:rPr>
      </w:pPr>
      <w:r w:rsidRPr="00504C78">
        <w:rPr>
          <w:b/>
          <w:bCs/>
        </w:rPr>
        <w:t>Snapshot Wisconsin: networking community scientists and remote sensing to improve ecological monitoring and management</w:t>
      </w:r>
    </w:p>
    <w:p w14:paraId="56447373" w14:textId="77777777" w:rsidR="00945FA4" w:rsidRDefault="00945FA4" w:rsidP="00945FA4">
      <w:pPr>
        <w:rPr>
          <w:b/>
          <w:bCs/>
        </w:rPr>
      </w:pPr>
      <w:r>
        <w:rPr>
          <w:b/>
          <w:bCs/>
        </w:rPr>
        <w:t>Townsend et al. 2021</w:t>
      </w:r>
    </w:p>
    <w:p w14:paraId="1B0DE4DC" w14:textId="29584B51" w:rsidR="00945FA4" w:rsidRDefault="00F33A0A" w:rsidP="00945FA4">
      <w:pPr>
        <w:rPr>
          <w:b/>
          <w:bCs/>
        </w:rPr>
      </w:pPr>
      <w:r w:rsidRPr="00F33A0A">
        <w:rPr>
          <w:b/>
          <w:bCs/>
        </w:rPr>
        <w:t>Global change and local solutions: Tapping the unrealized potential of citizen science for biodiversity research</w:t>
      </w:r>
    </w:p>
    <w:p w14:paraId="42FD934A" w14:textId="71BE0A2F" w:rsidR="00F33A0A" w:rsidRDefault="00F33A0A" w:rsidP="00945FA4">
      <w:pPr>
        <w:rPr>
          <w:b/>
          <w:bCs/>
        </w:rPr>
      </w:pPr>
      <w:r>
        <w:rPr>
          <w:b/>
          <w:bCs/>
        </w:rPr>
        <w:t>Theobald et al. 2015</w:t>
      </w:r>
    </w:p>
    <w:p w14:paraId="7C1DB406" w14:textId="604DA534" w:rsidR="00F33A0A" w:rsidRDefault="00F33A0A" w:rsidP="00F33A0A">
      <w:pPr>
        <w:pStyle w:val="ListParagraph"/>
        <w:numPr>
          <w:ilvl w:val="0"/>
          <w:numId w:val="18"/>
        </w:numPr>
      </w:pPr>
      <w:r>
        <w:t>Tracking, understanding and ameliorating biodiversity losses requires collecting fine-grain data over regional to continental extents and decadal time series a nearly impossible task for professionals cientist and resource managers.</w:t>
      </w:r>
    </w:p>
    <w:p w14:paraId="10C18AD4" w14:textId="30053667" w:rsidR="00F33A0A" w:rsidRDefault="00F33A0A" w:rsidP="00F33A0A">
      <w:pPr>
        <w:pStyle w:val="ListParagraph"/>
        <w:numPr>
          <w:ilvl w:val="0"/>
          <w:numId w:val="18"/>
        </w:numPr>
      </w:pPr>
      <w:r>
        <w:t>Citizen science increasingly advocated as a means for scientists to address large-scale data limitations</w:t>
      </w:r>
    </w:p>
    <w:p w14:paraId="3699E016" w14:textId="0073B679" w:rsidR="00544EAF" w:rsidRPr="00F33A0A" w:rsidRDefault="00544EAF" w:rsidP="00F33A0A">
      <w:pPr>
        <w:pStyle w:val="ListParagraph"/>
        <w:numPr>
          <w:ilvl w:val="0"/>
          <w:numId w:val="18"/>
        </w:numPr>
      </w:pPr>
      <w:r>
        <w:t>Professional scientists alone are not generally capable of delivering the volume of data, analysis and interpretation needed to match the speed at which policy decisions are made</w:t>
      </w:r>
    </w:p>
    <w:p w14:paraId="7F119CD7" w14:textId="77777777" w:rsidR="00945FA4" w:rsidRDefault="00945FA4" w:rsidP="00945FA4">
      <w:pPr>
        <w:rPr>
          <w:b/>
          <w:bCs/>
        </w:rPr>
      </w:pPr>
      <w:r w:rsidRPr="00D37056">
        <w:rPr>
          <w:b/>
          <w:bCs/>
        </w:rPr>
        <w:t>An approach for using multiple indices for monitoring long</w:t>
      </w:r>
      <w:r w:rsidRPr="00D37056">
        <w:rPr>
          <w:rFonts w:ascii="Cambria Math" w:hAnsi="Cambria Math" w:cs="Cambria Math"/>
          <w:b/>
          <w:bCs/>
        </w:rPr>
        <w:t>‑</w:t>
      </w:r>
      <w:r w:rsidRPr="00D37056">
        <w:rPr>
          <w:b/>
          <w:bCs/>
        </w:rPr>
        <w:t>term trends of</w:t>
      </w:r>
      <w:r w:rsidRPr="00D37056">
        <w:rPr>
          <w:rFonts w:ascii="Aptos" w:hAnsi="Aptos" w:cs="Aptos"/>
          <w:b/>
          <w:bCs/>
        </w:rPr>
        <w:t> </w:t>
      </w:r>
      <w:r w:rsidRPr="00D37056">
        <w:rPr>
          <w:b/>
          <w:bCs/>
        </w:rPr>
        <w:t>mesopredators at</w:t>
      </w:r>
      <w:r w:rsidRPr="00D37056">
        <w:rPr>
          <w:rFonts w:ascii="Aptos" w:hAnsi="Aptos" w:cs="Aptos"/>
          <w:b/>
          <w:bCs/>
        </w:rPr>
        <w:t> </w:t>
      </w:r>
      <w:r w:rsidRPr="00D37056">
        <w:rPr>
          <w:b/>
          <w:bCs/>
        </w:rPr>
        <w:t>broad spatial scales</w:t>
      </w:r>
    </w:p>
    <w:p w14:paraId="61BAEAE6" w14:textId="77777777" w:rsidR="00945FA4" w:rsidRDefault="00945FA4" w:rsidP="00945FA4">
      <w:pPr>
        <w:rPr>
          <w:b/>
          <w:bCs/>
        </w:rPr>
      </w:pPr>
      <w:r>
        <w:rPr>
          <w:b/>
          <w:bCs/>
        </w:rPr>
        <w:t>Bauder et al.</w:t>
      </w:r>
    </w:p>
    <w:p w14:paraId="5AD27110" w14:textId="77777777" w:rsidR="00945FA4" w:rsidRDefault="00945FA4" w:rsidP="00945FA4">
      <w:pPr>
        <w:pStyle w:val="ListParagraph"/>
        <w:numPr>
          <w:ilvl w:val="0"/>
          <w:numId w:val="12"/>
        </w:numPr>
        <w:spacing w:line="259" w:lineRule="auto"/>
      </w:pPr>
      <w:r>
        <w:t>Compared multiple indices (Harvest, adjusted harvest, harvest/trappers, archery hunter obesrvations, nocturnal spotlight surveys, roadkill surveys)  to estimate agreement and trends in raccoon, coyote, gray fox, red fox, opossum and skunk</w:t>
      </w:r>
    </w:p>
    <w:p w14:paraId="56486826" w14:textId="77777777" w:rsidR="00945FA4" w:rsidRDefault="00945FA4" w:rsidP="00945FA4">
      <w:pPr>
        <w:pStyle w:val="ListParagraph"/>
        <w:numPr>
          <w:ilvl w:val="0"/>
          <w:numId w:val="12"/>
        </w:numPr>
        <w:spacing w:line="259" w:lineRule="auto"/>
      </w:pPr>
      <w:r>
        <w:lastRenderedPageBreak/>
        <w:t>Indices will have greatest concordance when strong, consistent change over time</w:t>
      </w:r>
    </w:p>
    <w:p w14:paraId="32D064E1" w14:textId="77777777" w:rsidR="00945FA4" w:rsidRDefault="00945FA4" w:rsidP="00945FA4">
      <w:pPr>
        <w:pStyle w:val="ListParagraph"/>
        <w:numPr>
          <w:ilvl w:val="0"/>
          <w:numId w:val="12"/>
        </w:numPr>
        <w:spacing w:line="259" w:lineRule="auto"/>
      </w:pPr>
      <w:r>
        <w:t>Monitoring system, strong trends in index data, particularly declines, may best serve as indications of when more in-depth studies are needed</w:t>
      </w:r>
    </w:p>
    <w:p w14:paraId="7FBAD4DD" w14:textId="77777777" w:rsidR="00945FA4" w:rsidRDefault="00945FA4" w:rsidP="00945FA4">
      <w:pPr>
        <w:pStyle w:val="ListParagraph"/>
        <w:numPr>
          <w:ilvl w:val="0"/>
          <w:numId w:val="12"/>
        </w:numPr>
        <w:spacing w:line="259" w:lineRule="auto"/>
      </w:pPr>
      <w:r>
        <w:t>Recommendations to 1) collect data in a way to account for observation error, 2) compare indices of multiple sampling methods, and 3) use caution when inferring trends from relatively short-term studies given potential for greater signal-to-noise ratio</w:t>
      </w:r>
    </w:p>
    <w:p w14:paraId="3D852D47" w14:textId="77777777" w:rsidR="00945FA4" w:rsidRDefault="00945FA4" w:rsidP="00945FA4">
      <w:pPr>
        <w:rPr>
          <w:b/>
          <w:bCs/>
        </w:rPr>
      </w:pPr>
      <w:r w:rsidRPr="00A975A1">
        <w:rPr>
          <w:b/>
          <w:bCs/>
        </w:rPr>
        <w:t>Effects of season on occupancy and implications for habitat modeling: the Pacific marten Martes caurina</w:t>
      </w:r>
    </w:p>
    <w:p w14:paraId="3926D489" w14:textId="77777777" w:rsidR="00945FA4" w:rsidRDefault="00945FA4" w:rsidP="00945FA4">
      <w:pPr>
        <w:rPr>
          <w:b/>
          <w:bCs/>
        </w:rPr>
      </w:pPr>
      <w:r>
        <w:rPr>
          <w:b/>
          <w:bCs/>
        </w:rPr>
        <w:t>Zielinski et al.</w:t>
      </w:r>
    </w:p>
    <w:p w14:paraId="21B45A26" w14:textId="77777777" w:rsidR="00945FA4" w:rsidRDefault="00945FA4" w:rsidP="00945FA4">
      <w:pPr>
        <w:pStyle w:val="ListParagraph"/>
        <w:numPr>
          <w:ilvl w:val="0"/>
          <w:numId w:val="13"/>
        </w:numPr>
        <w:spacing w:line="259" w:lineRule="auto"/>
      </w:pPr>
      <w:r>
        <w:t>Looked at marten occupancy across different sites and for one site across years for both summer and winter, although different survey methods used between sesaons (cams in winter, track plates in summer)</w:t>
      </w:r>
    </w:p>
    <w:p w14:paraId="1EF31722" w14:textId="77777777" w:rsidR="00945FA4" w:rsidRDefault="00945FA4" w:rsidP="00945FA4">
      <w:pPr>
        <w:pStyle w:val="ListParagraph"/>
        <w:numPr>
          <w:ilvl w:val="0"/>
          <w:numId w:val="13"/>
        </w:numPr>
        <w:spacing w:line="259" w:lineRule="auto"/>
      </w:pPr>
      <w:r>
        <w:t>Difference in occupancy between seasons with it being much higher in winter potentially leading to different management conclusions</w:t>
      </w:r>
    </w:p>
    <w:p w14:paraId="6ECB3716" w14:textId="77777777" w:rsidR="00945FA4" w:rsidRPr="00A975A1" w:rsidRDefault="00945FA4" w:rsidP="00945FA4">
      <w:pPr>
        <w:pStyle w:val="ListParagraph"/>
        <w:numPr>
          <w:ilvl w:val="0"/>
          <w:numId w:val="13"/>
        </w:numPr>
        <w:spacing w:line="259" w:lineRule="auto"/>
      </w:pPr>
      <w:r>
        <w:t>Also for one multiyear site the occupancy across years does show a different trend</w:t>
      </w:r>
    </w:p>
    <w:p w14:paraId="050D28A1" w14:textId="77777777" w:rsidR="00945FA4" w:rsidRDefault="00945FA4" w:rsidP="00945FA4">
      <w:pPr>
        <w:rPr>
          <w:b/>
          <w:bCs/>
        </w:rPr>
      </w:pPr>
      <w:r w:rsidRPr="0097210F">
        <w:rPr>
          <w:b/>
          <w:bCs/>
        </w:rPr>
        <w:t>An empirical evaluation of camera trap study design: How many, how long and when?</w:t>
      </w:r>
    </w:p>
    <w:p w14:paraId="64DC4FAD" w14:textId="77777777" w:rsidR="00945FA4" w:rsidRDefault="00945FA4" w:rsidP="00945FA4">
      <w:pPr>
        <w:rPr>
          <w:b/>
          <w:bCs/>
        </w:rPr>
      </w:pPr>
      <w:r>
        <w:rPr>
          <w:b/>
          <w:bCs/>
        </w:rPr>
        <w:t>Kays et al. 2020</w:t>
      </w:r>
    </w:p>
    <w:p w14:paraId="72E9799C" w14:textId="77777777" w:rsidR="00945FA4" w:rsidRDefault="00945FA4" w:rsidP="00945FA4">
      <w:pPr>
        <w:pStyle w:val="ListParagraph"/>
        <w:numPr>
          <w:ilvl w:val="0"/>
          <w:numId w:val="14"/>
        </w:numPr>
        <w:spacing w:line="259" w:lineRule="auto"/>
      </w:pPr>
      <w:r>
        <w:t>Recommended comparisions over time must account for seasonality which had a strong impact on mammal communities</w:t>
      </w:r>
    </w:p>
    <w:p w14:paraId="01EB46BE" w14:textId="77777777" w:rsidR="00945FA4" w:rsidRDefault="00945FA4" w:rsidP="00945FA4">
      <w:pPr>
        <w:pStyle w:val="ListParagraph"/>
        <w:numPr>
          <w:ilvl w:val="0"/>
          <w:numId w:val="14"/>
        </w:numPr>
        <w:spacing w:line="259" w:lineRule="auto"/>
      </w:pPr>
      <w:r>
        <w:t>Magnitude of species showing seasonal trend greater in temperate study areas</w:t>
      </w:r>
    </w:p>
    <w:p w14:paraId="3A059E3F" w14:textId="77777777" w:rsidR="00945FA4" w:rsidRDefault="00945FA4" w:rsidP="00945FA4">
      <w:pPr>
        <w:pStyle w:val="ListParagraph"/>
        <w:numPr>
          <w:ilvl w:val="0"/>
          <w:numId w:val="14"/>
        </w:numPr>
        <w:spacing w:line="259" w:lineRule="auto"/>
      </w:pPr>
      <w:r>
        <w:t>More complicated temporal pattern than smmer-winter seasonal comparison looked at in this study</w:t>
      </w:r>
    </w:p>
    <w:p w14:paraId="0494ABB6" w14:textId="77777777" w:rsidR="00945FA4" w:rsidRDefault="00945FA4" w:rsidP="00945FA4">
      <w:pPr>
        <w:pStyle w:val="ListParagraph"/>
        <w:numPr>
          <w:ilvl w:val="0"/>
          <w:numId w:val="14"/>
        </w:numPr>
        <w:spacing w:line="259" w:lineRule="auto"/>
      </w:pPr>
      <w:r>
        <w:t>Sampling an area in only one season would not necessarily yield estimates of site abundance that are representative</w:t>
      </w:r>
    </w:p>
    <w:p w14:paraId="568C20E9" w14:textId="77777777" w:rsidR="00945FA4" w:rsidRPr="0097210F" w:rsidRDefault="00945FA4" w:rsidP="00945FA4">
      <w:pPr>
        <w:pStyle w:val="ListParagraph"/>
        <w:numPr>
          <w:ilvl w:val="0"/>
          <w:numId w:val="14"/>
        </w:numPr>
        <w:spacing w:line="259" w:lineRule="auto"/>
      </w:pPr>
      <w:r>
        <w:t>About 40-50% of species showed significant seasonal changes in occupancy or detection probability with temperate sites showing larger changes</w:t>
      </w:r>
    </w:p>
    <w:p w14:paraId="504D4307" w14:textId="5F320B40" w:rsidR="003C1881" w:rsidRDefault="003C1881" w:rsidP="00945FA4">
      <w:pPr>
        <w:rPr>
          <w:b/>
          <w:bCs/>
        </w:rPr>
      </w:pPr>
      <w:r>
        <w:rPr>
          <w:b/>
          <w:bCs/>
        </w:rPr>
        <w:t>Things other people can help with</w:t>
      </w:r>
    </w:p>
    <w:p w14:paraId="2CFC6D4E" w14:textId="533DF519" w:rsidR="003C1881" w:rsidRDefault="003C1881" w:rsidP="003C1881">
      <w:pPr>
        <w:pStyle w:val="ListParagraph"/>
        <w:numPr>
          <w:ilvl w:val="0"/>
          <w:numId w:val="16"/>
        </w:numPr>
      </w:pPr>
      <w:r>
        <w:t>Why Royle-Nichols model is a good choice for this data</w:t>
      </w:r>
    </w:p>
    <w:p w14:paraId="4AA14C2A" w14:textId="12179102" w:rsidR="003C1881" w:rsidRDefault="003C1881" w:rsidP="003C1881">
      <w:pPr>
        <w:pStyle w:val="ListParagraph"/>
        <w:numPr>
          <w:ilvl w:val="0"/>
          <w:numId w:val="16"/>
        </w:numPr>
      </w:pPr>
      <w:r>
        <w:t>General SSWI methodology or maybe this can be covered by Townsend et al. 2021</w:t>
      </w:r>
    </w:p>
    <w:p w14:paraId="24FFA536" w14:textId="596BB898" w:rsidR="003C1881" w:rsidRDefault="003C1881" w:rsidP="003C1881">
      <w:pPr>
        <w:pStyle w:val="ListParagraph"/>
        <w:numPr>
          <w:ilvl w:val="0"/>
          <w:numId w:val="16"/>
        </w:numPr>
      </w:pPr>
      <w:r>
        <w:t>Why spatial scale is important to include in this modeling, why BLISS is a good way to account for this. Maybe the first half of this sentence is intro/discussion material and the 2</w:t>
      </w:r>
      <w:r w:rsidRPr="003C1881">
        <w:rPr>
          <w:vertAlign w:val="superscript"/>
        </w:rPr>
        <w:t>nd</w:t>
      </w:r>
      <w:r>
        <w:t xml:space="preserve"> half is methods</w:t>
      </w:r>
    </w:p>
    <w:p w14:paraId="45C500F3" w14:textId="09266B86" w:rsidR="003C1881" w:rsidRDefault="003C1881" w:rsidP="003C1881">
      <w:pPr>
        <w:pStyle w:val="ListParagraph"/>
        <w:numPr>
          <w:ilvl w:val="0"/>
          <w:numId w:val="16"/>
        </w:numPr>
      </w:pPr>
      <w:r>
        <w:t>Seasonalities importance in modeling distribution, Zielinski et al. 2014 and Kays et al. 2020, that’s what I found for this is there others out there?</w:t>
      </w:r>
    </w:p>
    <w:p w14:paraId="36F98281" w14:textId="55A5190B" w:rsidR="003C1881" w:rsidRDefault="003C1881" w:rsidP="003C1881">
      <w:pPr>
        <w:pStyle w:val="ListParagraph"/>
        <w:numPr>
          <w:ilvl w:val="0"/>
          <w:numId w:val="16"/>
        </w:numPr>
      </w:pPr>
      <w:r>
        <w:lastRenderedPageBreak/>
        <w:t>Citizen science making large scale analysis possible</w:t>
      </w:r>
    </w:p>
    <w:p w14:paraId="5E91BE5C" w14:textId="2DD318C4" w:rsidR="003C1881" w:rsidRDefault="003C1881" w:rsidP="003C1881">
      <w:pPr>
        <w:pStyle w:val="ListParagraph"/>
        <w:numPr>
          <w:ilvl w:val="0"/>
          <w:numId w:val="16"/>
        </w:numPr>
      </w:pPr>
      <w:r>
        <w:t>Confluence of factors makes this unique/useful. Statewide monitoring effort enabled by SSWI</w:t>
      </w:r>
    </w:p>
    <w:p w14:paraId="7887CDB8" w14:textId="40CED673" w:rsidR="003C1881" w:rsidRDefault="00F33A0A" w:rsidP="003C1881">
      <w:pPr>
        <w:pStyle w:val="ListParagraph"/>
        <w:numPr>
          <w:ilvl w:val="0"/>
          <w:numId w:val="16"/>
        </w:numPr>
      </w:pPr>
      <w:r>
        <w:t>P</w:t>
      </w:r>
      <w:r w:rsidR="003C1881">
        <w:t>roblems/pitfalls of monitoring and how there addressed by our research, small scale limited by money effort-&gt; citizen science, scale of effects, spatial autocorrelation, imperfect detection producing population estimate from state wide cit sci project except not quite pop estimate more of relative abundance perhaps and trend</w:t>
      </w:r>
    </w:p>
    <w:p w14:paraId="0287A7E8" w14:textId="26850A4B" w:rsidR="00C65C9A" w:rsidRPr="003C1881" w:rsidRDefault="00C65C9A" w:rsidP="003C1881">
      <w:pPr>
        <w:pStyle w:val="ListParagraph"/>
        <w:numPr>
          <w:ilvl w:val="0"/>
          <w:numId w:val="16"/>
        </w:numPr>
      </w:pPr>
      <w:r>
        <w:t>Temporal trends about management, spatial trends about ecology</w:t>
      </w:r>
    </w:p>
    <w:p w14:paraId="1380C95F" w14:textId="77777777" w:rsidR="003C1881" w:rsidRDefault="003C1881" w:rsidP="00945FA4">
      <w:pPr>
        <w:rPr>
          <w:b/>
          <w:bCs/>
        </w:rPr>
      </w:pPr>
    </w:p>
    <w:p w14:paraId="4ACBFD7B" w14:textId="3F113DE8" w:rsidR="001A3247" w:rsidRPr="001A3247" w:rsidRDefault="001A3247" w:rsidP="00945FA4">
      <w:pPr>
        <w:rPr>
          <w:b/>
          <w:bCs/>
        </w:rPr>
      </w:pPr>
      <w:r>
        <w:rPr>
          <w:b/>
          <w:bCs/>
        </w:rPr>
        <w:t>Introduction</w:t>
      </w:r>
    </w:p>
    <w:p w14:paraId="5462A096" w14:textId="219F6589" w:rsidR="00A62748" w:rsidRDefault="00A62748" w:rsidP="00945FA4">
      <w:r>
        <w:t>Ecological data is messy, how does large spatial (and temporal?) contribute to messiness? Spatial spline helps deal with a large spatial scale problem? Does scale selection help deal with large spatial scale problem? Non-stationarity not answered.</w:t>
      </w:r>
      <w:r w:rsidR="003D0A43">
        <w:t xml:space="preserve"> Part of large-scale issue is temporal component.</w:t>
      </w:r>
    </w:p>
    <w:p w14:paraId="1D5EFF12" w14:textId="288A4150" w:rsidR="001A3247" w:rsidRDefault="00945FA4" w:rsidP="00945FA4">
      <w:r>
        <w:t xml:space="preserve">Estimating abundance of wildlife species in support of management decisions, is an essential goal of wildlife agencies whose simple nature belies </w:t>
      </w:r>
      <w:r w:rsidR="001A3247">
        <w:t>its challenges</w:t>
      </w:r>
      <w:r>
        <w:t>.</w:t>
      </w:r>
      <w:r w:rsidR="001A3247">
        <w:t xml:space="preserve"> Game species, often the subject of consequential</w:t>
      </w:r>
      <w:r w:rsidR="00FB1A90">
        <w:t>, scrutinized</w:t>
      </w:r>
      <w:r w:rsidR="001A3247">
        <w:t xml:space="preserve"> decisions for state wildlife agencies, are often wide-ranging species and managed as such over large jurisdictional boundaries. Sampling across a state-wide population </w:t>
      </w:r>
      <w:r w:rsidR="0030663D">
        <w:t xml:space="preserve">is constrained by </w:t>
      </w:r>
      <w:r w:rsidR="001A3247">
        <w:t>logistical and financial</w:t>
      </w:r>
      <w:r w:rsidR="0030663D">
        <w:t xml:space="preserve"> challenges</w:t>
      </w:r>
      <w:r w:rsidR="001A3247">
        <w:t xml:space="preserve"> of limited staff employed by wildlife agencies. Meanwhile many wildlife species are not individually identifiable without using expensive and invasive sampling techniques leading to difficulties in separating detection and abundance processes and the use of unmarked population models that often prescribe unattainable assumptions. These challenges conspire to prevent confident abundance estimates of wildlife populations by managing agencies however new collaborations and advancement in methodology can bring us closer to overcoming these challenges. </w:t>
      </w:r>
    </w:p>
    <w:p w14:paraId="167CD5A4" w14:textId="3D7D06D1" w:rsidR="001A3247" w:rsidRDefault="001A3247" w:rsidP="00945FA4">
      <w:r>
        <w:t>Snapshot Wisconsin (SSWI) is a community science camera trapping project managed by Wisconsin Department of Natural Resources. Leveraging the power of community science collected data solves data extent issues.</w:t>
      </w:r>
    </w:p>
    <w:p w14:paraId="173DE53B" w14:textId="7336F7F9" w:rsidR="001A3247" w:rsidRDefault="001A3247" w:rsidP="00945FA4">
      <w:r>
        <w:t>Unmarked camera techniques why royle-nichols works for us, in what situations is this trustworthy, maybe talk about the complication of scaling up estimates</w:t>
      </w:r>
    </w:p>
    <w:p w14:paraId="46F5ADF8" w14:textId="4E36AD16" w:rsidR="001A3247" w:rsidRDefault="001A3247" w:rsidP="00945FA4">
      <w:r w:rsidRPr="00DE72B6">
        <w:rPr>
          <w:highlight w:val="yellow"/>
        </w:rPr>
        <w:t>How to tie in other model advancements used in this research? Scale selection, spatial autocorrelation, non-linear effects</w:t>
      </w:r>
    </w:p>
    <w:p w14:paraId="4338DFAD" w14:textId="37640252" w:rsidR="002A1F20" w:rsidRDefault="002A1F20" w:rsidP="00945FA4">
      <w:r>
        <w:lastRenderedPageBreak/>
        <w:t>Be clear about large scale monitoring relating to abundance and trend estimates</w:t>
      </w:r>
    </w:p>
    <w:p w14:paraId="1036DD72" w14:textId="510795CD" w:rsidR="001A3247" w:rsidRDefault="001A3247" w:rsidP="00945FA4">
      <w:r>
        <w:t>Seasonal uncertainties in effects?</w:t>
      </w:r>
    </w:p>
    <w:p w14:paraId="545CF7EF" w14:textId="6A0634D9" w:rsidR="001A3247" w:rsidRDefault="001A3247" w:rsidP="00945FA4">
      <w:r>
        <w:t>Black bear (</w:t>
      </w:r>
      <w:r>
        <w:rPr>
          <w:i/>
          <w:iCs/>
        </w:rPr>
        <w:t>Ursus americanus</w:t>
      </w:r>
      <w:r>
        <w:t xml:space="preserve">) populations in Wisconsin have rebounded over the past several decades from historic lows in </w:t>
      </w:r>
      <w:r w:rsidRPr="001A3247">
        <w:rPr>
          <w:highlight w:val="yellow"/>
        </w:rPr>
        <w:t>19XX</w:t>
      </w:r>
      <w:r>
        <w:t xml:space="preserve"> and further range expansion and population increase in Wisconsin is likely (Black Bear Mgmt. Plan).</w:t>
      </w:r>
      <w:r w:rsidR="002E0824">
        <w:t xml:space="preserve"> Concomitant with range expansion and population increase is increases in harvest opportunities and conflict as bear populations expand from stronghold areas with </w:t>
      </w:r>
      <w:r w:rsidR="00080F23">
        <w:t>predominantly</w:t>
      </w:r>
      <w:r w:rsidR="002E0824">
        <w:t xml:space="preserve"> forest land cover to those interspersed with agriculture. Monitoring the black bear population in Wisconsin involves a state-space age-at-harvest model to reconstruct the population (Allen et al.2018). The initial population size for this model was estimated based on bear visitation rates to bait sites (Allen et al. 2018). Importantly it was </w:t>
      </w:r>
      <w:r w:rsidR="001F0C38">
        <w:t>recommended that</w:t>
      </w:r>
      <w:r w:rsidR="002E0824">
        <w:t xml:space="preserve"> independent population estimates are performed to improve model precision and validate abundance estimates (Allen et al. 2018).</w:t>
      </w:r>
      <w:r w:rsidR="001F0C38">
        <w:t xml:space="preserve"> Given the reliable detectability of black bears by camera traps (citation? Internal?) and the contrasting management objectives across different management zones () Historically the agency has used a combination of tools to estimate bear population size. </w:t>
      </w:r>
    </w:p>
    <w:p w14:paraId="19E2FE82" w14:textId="77777777" w:rsidR="0030663D" w:rsidRDefault="0030663D" w:rsidP="00945FA4"/>
    <w:p w14:paraId="3A665920" w14:textId="2BFEF873" w:rsidR="002A1F20" w:rsidRDefault="0030663D" w:rsidP="00945FA4">
      <w:r>
        <w:t>Conservation and wildlife management professionals are continually striving to</w:t>
      </w:r>
      <w:r w:rsidR="006F5AF5">
        <w:t xml:space="preserve"> improve the quality of information at the disposal of decision-makers. </w:t>
      </w:r>
      <w:r w:rsidR="00383B52">
        <w:t>Necessary information about the abundance of wildlife populations</w:t>
      </w:r>
      <w:r w:rsidR="00A03F90">
        <w:t xml:space="preserve">Wildlife monitoring programs provide such information </w:t>
      </w:r>
      <w:r w:rsidR="00383B52">
        <w:t>on the abundance of wildlife populations</w:t>
      </w:r>
      <w:r w:rsidR="006F5AF5">
        <w:t xml:space="preserve"> but the simple </w:t>
      </w:r>
      <w:r w:rsidR="00383B52">
        <w:t xml:space="preserve">goal </w:t>
      </w:r>
      <w:r w:rsidR="00A03F90">
        <w:t>of estimating population size</w:t>
      </w:r>
      <w:r w:rsidR="006F5AF5">
        <w:t xml:space="preserve"> belies </w:t>
      </w:r>
      <w:r w:rsidR="00383B52">
        <w:t>the associated</w:t>
      </w:r>
      <w:r w:rsidR="006F5AF5">
        <w:t xml:space="preserve"> challenges. </w:t>
      </w:r>
      <w:r w:rsidR="00784A04">
        <w:t xml:space="preserve">A universal constraint limiting monitoring is the logistical and financial resources needed to monitor at large scales, despite numerous calls to action to implement large scale wildlife monitoring and the benefits of doing so (). Community science provides a solution to these limitations distributing effort across a larger base </w:t>
      </w:r>
      <w:r w:rsidR="00101259">
        <w:t xml:space="preserve">enabling greater spatial and temporal extents </w:t>
      </w:r>
      <w:r w:rsidR="00784A04">
        <w:t>than</w:t>
      </w:r>
      <w:r w:rsidR="00101259">
        <w:t xml:space="preserve"> typically</w:t>
      </w:r>
      <w:r w:rsidR="00784A04">
        <w:t xml:space="preserve"> possible through land management agencies (). </w:t>
      </w:r>
      <w:r w:rsidR="00101259">
        <w:t xml:space="preserve">However community science data is still underutilized but can provide an invaluable tool for agencies tasked with managing wildlife populations often under scrutiny while striving to improve the quality of information at their disposal. </w:t>
      </w:r>
    </w:p>
    <w:p w14:paraId="37ECAC73" w14:textId="43D551C2" w:rsidR="00383B52" w:rsidRDefault="00383B52" w:rsidP="00945FA4">
      <w:r>
        <w:t xml:space="preserve">Adding to the logistical and financial constraints of large scale long term monitoring I sthe need to account for imperfect detections. Repeat visits, </w:t>
      </w:r>
      <w:r w:rsidR="00063710">
        <w:t xml:space="preserve">and/or </w:t>
      </w:r>
      <w:r>
        <w:t xml:space="preserve">multiple observers </w:t>
      </w:r>
      <w:r w:rsidR="00063710">
        <w:t xml:space="preserve">both requiring a greater commitment of resources are needed to provide the supplementary information to estimate detection. </w:t>
      </w:r>
      <w:r>
        <w:t>Accounting for imperfect detection is part of logistical and financial constraint</w:t>
      </w:r>
    </w:p>
    <w:p w14:paraId="611D12C2" w14:textId="47BA525F" w:rsidR="00622CC2" w:rsidRDefault="00622CC2" w:rsidP="00945FA4">
      <w:r>
        <w:lastRenderedPageBreak/>
        <w:t xml:space="preserve">Secondarily estimated spatial distribution and habitat associations provide important contributions to ecological knowledge on species over substantial regions of interest without the uncertainty in assuming representation of a small study area to a larger region or translation of habitat associations from different parts of species range. </w:t>
      </w:r>
    </w:p>
    <w:p w14:paraId="2B34A37B" w14:textId="2EDEF4E9" w:rsidR="0030663D" w:rsidRDefault="002A1F20" w:rsidP="00945FA4">
      <w:r>
        <w:t xml:space="preserve">While community science removes the most obvious impediment to producing accurate, large-scale trend estimates other characteristic challenges of working with ecological data persist.  </w:t>
      </w:r>
      <w:r w:rsidR="0030663D">
        <w:t xml:space="preserve">The ambition to meet these goals has spurred methodological and technological development across sub-disciplines to meet various components of modeling ecological data at larger scales while accounting for potentially confounding factors. </w:t>
      </w:r>
      <w:r w:rsidR="004F7615">
        <w:t>An ideal model which a</w:t>
      </w:r>
      <w:r w:rsidR="00A412C0">
        <w:t xml:space="preserve">ccurately estimating population trends of wildlife species of interest requires assembling </w:t>
      </w:r>
      <w:r w:rsidR="004F7615">
        <w:t xml:space="preserve">all these disparate considerations into a modeling framework that can flexibly accommodate them. While this panacea of a model may still be out of reach, advancements with community science, flexible hierarchical modeling, and methodological development to address non-linear and scale dependency </w:t>
      </w:r>
      <w:r w:rsidR="00BD6F89">
        <w:t>can enable us to envision multi-species monitoring programs that can produce robust population trends critical to informing conservation and management decisions. Using Snapshot Wisconsin, a community-science based state-wide wildlife monitoring camera trap program we demonstrate a framework to produce state-wide population trend estimates that we believe can be an integral part of large-scale wildlife monitoring and serve as an example for future adoption.</w:t>
      </w:r>
    </w:p>
    <w:p w14:paraId="2FB33D1A" w14:textId="3C470B15" w:rsidR="001A3247" w:rsidRDefault="001A3247" w:rsidP="00945FA4">
      <w:pPr>
        <w:rPr>
          <w:b/>
          <w:bCs/>
        </w:rPr>
      </w:pPr>
      <w:r w:rsidRPr="001A3247">
        <w:rPr>
          <w:b/>
          <w:bCs/>
        </w:rPr>
        <w:t>Methods</w:t>
      </w:r>
    </w:p>
    <w:p w14:paraId="0759C8F4" w14:textId="0279CE8C" w:rsidR="001A3247" w:rsidRDefault="001A3247" w:rsidP="00945FA4">
      <w:r>
        <w:t>We pulled SSWI data from spring (April 15- June 30) and summer (May 21</w:t>
      </w:r>
      <w:r w:rsidRPr="001A3247">
        <w:rPr>
          <w:vertAlign w:val="superscript"/>
        </w:rPr>
        <w:t>st</w:t>
      </w:r>
      <w:r>
        <w:t xml:space="preserve"> – August 26th) 2019-2024 within bear range (Figure XX) in Wisconsin. </w:t>
      </w:r>
      <w:r w:rsidR="00544EAF">
        <w:t xml:space="preserve">SSWI data was filtered for required classification effort of greater than 95% photos classified. </w:t>
      </w:r>
      <w:r>
        <w:t xml:space="preserve">For the spring dataset surveys from 665, 633, 655, 673, 597, and 870 camera sites from 2019-2024 were used respectively. For the summer dataset surveys </w:t>
      </w:r>
      <w:r w:rsidR="00067A63">
        <w:t>from 903</w:t>
      </w:r>
      <w:r>
        <w:t xml:space="preserve">, 778, 872, 945, 919 and 1071 camera sites from 2019-2024 were used respectively. About 68% of camera sites were conserved from year to year for the spring data set and 78% of camera sites were conserved from year to year for the summer dataset. Weekly detection occasions were created from the data resulting in 11 occasions for each site x year in spring and 14 occasions for each site x year in summer. </w:t>
      </w:r>
      <w:r w:rsidR="00067A63">
        <w:t xml:space="preserve">Only adult bear classifications were used in modeling. </w:t>
      </w:r>
      <w:r>
        <w:t>There was some turnover in camera sites from year to year</w:t>
      </w:r>
      <w:r w:rsidR="00544EAF">
        <w:t>.</w:t>
      </w:r>
      <w:r>
        <w:t xml:space="preserve"> SSWI cameras are established using Public Land Survey quarter-townships (4.8km x 4.8km cells) (Townsend et al. 2021). Given the high sur</w:t>
      </w:r>
    </w:p>
    <w:p w14:paraId="19CA557B" w14:textId="039F4C9E" w:rsidR="001A3247" w:rsidRDefault="001A3247" w:rsidP="00945FA4">
      <w:r>
        <w:t>We estimated abundance across the 6 black bear management zones in Wisconsin using Royle-Nichols models</w:t>
      </w:r>
      <w:r w:rsidR="00D16268">
        <w:t xml:space="preserve"> which account for heterogeneity in detection probability with a </w:t>
      </w:r>
      <w:r w:rsidR="00D16268">
        <w:lastRenderedPageBreak/>
        <w:t>latent abundance process</w:t>
      </w:r>
      <w:r>
        <w:t xml:space="preserve"> (Royle and Nichols 2003).</w:t>
      </w:r>
      <w:r w:rsidR="00CE5788">
        <w:t xml:space="preserve"> We used a ‘stacked design’ </w:t>
      </w:r>
      <w:r w:rsidR="002C410F">
        <w:t xml:space="preserve">treating each site x year combination </w:t>
      </w:r>
      <w:r w:rsidR="00CE5788">
        <w:t xml:space="preserve">to </w:t>
      </w:r>
      <w:r w:rsidR="002C410F">
        <w:t>estimate</w:t>
      </w:r>
      <w:r w:rsidR="00CE5788">
        <w:t xml:space="preserve"> the trends in abundance across years </w:t>
      </w:r>
      <w:r w:rsidR="002C410F" w:rsidRPr="002C410F">
        <w:rPr>
          <w:highlight w:val="yellow"/>
        </w:rPr>
        <w:t>and the uncertainty in interpreting colonization and extinction probabilities in continuous habitat?(citation)</w:t>
      </w:r>
      <w:r w:rsidR="00CE5788" w:rsidRPr="002C410F">
        <w:rPr>
          <w:highlight w:val="yellow"/>
        </w:rPr>
        <w:t>(</w:t>
      </w:r>
      <w:r w:rsidR="00CE5788">
        <w:t>Kery and Royle 2015).</w:t>
      </w:r>
      <w:r w:rsidR="00067A63">
        <w:t xml:space="preserve"> Non-harvest rates of mortality of </w:t>
      </w:r>
      <w:r w:rsidR="00080F23">
        <w:t xml:space="preserve">adult </w:t>
      </w:r>
      <w:r w:rsidR="00067A63">
        <w:t>black bears is low</w:t>
      </w:r>
      <w:r w:rsidR="00080F23">
        <w:t xml:space="preserve"> and using only adult black bear classifications </w:t>
      </w:r>
      <w:r w:rsidR="00080F23" w:rsidRPr="00080F23">
        <w:rPr>
          <w:highlight w:val="yellow"/>
        </w:rPr>
        <w:t>limits our violation of the assumption of violation closure due to births, immigration and emigration</w:t>
      </w:r>
      <w:r w:rsidR="00067A63">
        <w:t xml:space="preserve"> (Allen et al. 2018).  </w:t>
      </w:r>
      <w:r w:rsidR="003C1881" w:rsidRPr="003C1881">
        <w:rPr>
          <w:highlight w:val="yellow"/>
        </w:rPr>
        <w:t>Why Royle-Nichols is a good choice for this data</w:t>
      </w:r>
      <w:r w:rsidR="00080F23">
        <w:rPr>
          <w:highlight w:val="yellow"/>
        </w:rPr>
        <w:t xml:space="preserve"> (Kery and Royle 2015)</w:t>
      </w:r>
      <w:r w:rsidR="003C1881" w:rsidRPr="003C1881">
        <w:rPr>
          <w:highlight w:val="yellow"/>
        </w:rPr>
        <w:t>.</w:t>
      </w:r>
      <w:r w:rsidR="00432623">
        <w:t xml:space="preserve"> </w:t>
      </w:r>
      <w:r w:rsidR="0065235A">
        <w:t xml:space="preserve">The realized latent abundance </w:t>
      </w:r>
      <w:r w:rsidR="00432623">
        <w:t>(</w:t>
      </w:r>
      <w:r w:rsidR="0065235A">
        <w:t>N</w:t>
      </w:r>
      <w:r w:rsidR="0065235A">
        <w:rPr>
          <w:vertAlign w:val="subscript"/>
        </w:rPr>
        <w:t>i</w:t>
      </w:r>
      <w:r w:rsidR="002C410F">
        <w:rPr>
          <w:vertAlign w:val="subscript"/>
        </w:rPr>
        <w:t>t</w:t>
      </w:r>
      <w:r w:rsidR="00432623">
        <w:t xml:space="preserve">) </w:t>
      </w:r>
      <w:r w:rsidR="0065235A">
        <w:t>i</w:t>
      </w:r>
      <w:r w:rsidR="00432623">
        <w:t>s</w:t>
      </w:r>
      <w:r w:rsidR="0065235A">
        <w:t xml:space="preserve"> drawn from a Poisson distribution with λ</w:t>
      </w:r>
      <w:r w:rsidR="0065235A">
        <w:rPr>
          <w:vertAlign w:val="subscript"/>
        </w:rPr>
        <w:t>i</w:t>
      </w:r>
      <w:r w:rsidR="002C410F">
        <w:rPr>
          <w:vertAlign w:val="subscript"/>
        </w:rPr>
        <w:t>t</w:t>
      </w:r>
      <w:r w:rsidR="0065235A">
        <w:t xml:space="preserve"> which was</w:t>
      </w:r>
      <w:r w:rsidR="00432623">
        <w:t xml:space="preserve"> modeled as a function of environmental covariates and spatial autocorrelation </w:t>
      </w:r>
      <w:r w:rsidR="0078311A">
        <w:t>in a generalized linear model with a log link function:</w:t>
      </w:r>
    </w:p>
    <w:p w14:paraId="66C3C896" w14:textId="4BFD4E6D" w:rsidR="0065235A" w:rsidRPr="0065235A" w:rsidRDefault="00000000" w:rsidP="0065235A">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r>
                <w:rPr>
                  <w:rFonts w:ascii="Cambria Math" w:eastAsiaTheme="minorEastAsia" w:hAnsi="Cambria Math"/>
                </w:rPr>
                <m:t>t</m:t>
              </m:r>
            </m:sub>
          </m:sSub>
          <m:r>
            <w:rPr>
              <w:rFonts w:ascii="Cambria Math" w:eastAsiaTheme="minorEastAsia" w:hAnsi="Cambria Math"/>
            </w:rPr>
            <m:t xml:space="preserve"> ~ Poisson(</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r>
                <w:rPr>
                  <w:rFonts w:ascii="Cambria Math" w:eastAsiaTheme="minorEastAsia" w:hAnsi="Cambria Math"/>
                </w:rPr>
                <m:t>t</m:t>
              </m:r>
            </m:sub>
          </m:sSub>
          <m:r>
            <w:rPr>
              <w:rFonts w:ascii="Cambria Math" w:eastAsiaTheme="minorEastAsia" w:hAnsi="Cambria Math"/>
            </w:rPr>
            <m:t>)</m:t>
          </m:r>
        </m:oMath>
      </m:oMathPara>
    </w:p>
    <w:p w14:paraId="71CE56F9" w14:textId="02A74B9B" w:rsidR="0065235A" w:rsidRPr="0065235A" w:rsidRDefault="00000000" w:rsidP="0065235A">
      <w:pPr>
        <w:jc w:val="cente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log</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r>
                        <w:rPr>
                          <w:rFonts w:ascii="Cambria Math" w:eastAsiaTheme="minorEastAsia" w:hAnsi="Cambria Math"/>
                        </w:rPr>
                        <m:t>t</m:t>
                      </m:r>
                    </m:sub>
                  </m:sSub>
                </m:e>
              </m:d>
            </m:e>
          </m:func>
          <m:r>
            <w:rPr>
              <w:rFonts w:ascii="Cambria Math" w:eastAsiaTheme="minorEastAsia" w:hAnsi="Cambria Math"/>
            </w:rPr>
            <m:t>=</m:t>
          </m:r>
          <m:r>
            <m:rPr>
              <m:sty m:val="bi"/>
            </m:rP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r>
                <w:rPr>
                  <w:rFonts w:ascii="Cambria Math" w:eastAsiaTheme="minorEastAsia" w:hAnsi="Cambria Math"/>
                </w:rPr>
                <m:t>t</m:t>
              </m:r>
            </m:sub>
          </m:s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r>
                <w:rPr>
                  <w:rFonts w:ascii="Cambria Math" w:eastAsiaTheme="minorEastAsia" w:hAnsi="Cambria Math"/>
                </w:rPr>
                <m:t>t</m:t>
              </m:r>
            </m:sub>
          </m:sSub>
          <m:r>
            <w:rPr>
              <w:rFonts w:ascii="Cambria Math" w:eastAsiaTheme="minorEastAsia" w:hAnsi="Cambria Math"/>
            </w:rPr>
            <m:t>)</m:t>
          </m:r>
        </m:oMath>
      </m:oMathPara>
    </w:p>
    <w:p w14:paraId="364DE6E6" w14:textId="78A8CC80" w:rsidR="00EB5504" w:rsidRDefault="00DD4F9A" w:rsidP="0065235A">
      <w:pPr>
        <w:rPr>
          <w:rFonts w:eastAsiaTheme="minorEastAsia"/>
        </w:rPr>
      </w:pPr>
      <w:r>
        <w:rPr>
          <w:rFonts w:eastAsiaTheme="minorEastAsia"/>
        </w:rPr>
        <w:t>Where λ</w:t>
      </w:r>
      <w:r>
        <w:rPr>
          <w:rFonts w:eastAsiaTheme="minorEastAsia"/>
          <w:vertAlign w:val="subscript"/>
        </w:rPr>
        <w:t>i</w:t>
      </w:r>
      <w:r w:rsidR="002C410F">
        <w:rPr>
          <w:rFonts w:eastAsiaTheme="minorEastAsia"/>
          <w:vertAlign w:val="subscript"/>
        </w:rPr>
        <w:t>t</w:t>
      </w:r>
      <w:r>
        <w:rPr>
          <w:rFonts w:eastAsiaTheme="minorEastAsia"/>
        </w:rPr>
        <w:t xml:space="preserve"> is the expected abundance at camera site </w:t>
      </w:r>
      <w:r w:rsidR="00494216">
        <w:rPr>
          <w:rFonts w:eastAsiaTheme="minorEastAsia"/>
          <w:i/>
          <w:iCs/>
        </w:rPr>
        <w:t>i</w:t>
      </w:r>
      <w:r w:rsidR="002C410F">
        <w:rPr>
          <w:rFonts w:eastAsiaTheme="minorEastAsia"/>
          <w:i/>
          <w:iCs/>
        </w:rPr>
        <w:t xml:space="preserve"> </w:t>
      </w:r>
      <w:r w:rsidR="00494216">
        <w:rPr>
          <w:rFonts w:eastAsiaTheme="minorEastAsia"/>
        </w:rPr>
        <w:t>during</w:t>
      </w:r>
      <w:r w:rsidR="002C410F">
        <w:rPr>
          <w:rFonts w:eastAsiaTheme="minorEastAsia"/>
        </w:rPr>
        <w:t xml:space="preserve"> year </w:t>
      </w:r>
      <w:r w:rsidR="002C410F">
        <w:rPr>
          <w:rFonts w:eastAsiaTheme="minorEastAsia"/>
          <w:i/>
          <w:iCs/>
        </w:rPr>
        <w:t>t</w:t>
      </w:r>
      <w:r>
        <w:rPr>
          <w:rFonts w:eastAsiaTheme="minorEastAsia"/>
        </w:rPr>
        <w:t xml:space="preserve">, </w:t>
      </w:r>
      <w:r w:rsidRPr="00DD4F9A">
        <w:rPr>
          <w:rFonts w:eastAsiaTheme="minorEastAsia"/>
          <w:b/>
          <w:bCs/>
        </w:rPr>
        <w:t>β</w:t>
      </w:r>
      <w:r>
        <w:rPr>
          <w:rFonts w:eastAsiaTheme="minorEastAsia"/>
          <w:i/>
          <w:iCs/>
        </w:rPr>
        <w:t xml:space="preserve"> </w:t>
      </w:r>
      <w:r>
        <w:rPr>
          <w:rFonts w:eastAsiaTheme="minorEastAsia"/>
        </w:rPr>
        <w:t>is a vector of regression coefficients, X</w:t>
      </w:r>
      <w:r>
        <w:rPr>
          <w:rFonts w:eastAsiaTheme="minorEastAsia"/>
          <w:vertAlign w:val="subscript"/>
        </w:rPr>
        <w:t>i</w:t>
      </w:r>
      <w:r w:rsidR="002C410F">
        <w:rPr>
          <w:rFonts w:eastAsiaTheme="minorEastAsia"/>
          <w:vertAlign w:val="subscript"/>
        </w:rPr>
        <w:t>t</w:t>
      </w:r>
      <w:r>
        <w:rPr>
          <w:rFonts w:eastAsiaTheme="minorEastAsia"/>
        </w:rPr>
        <w:t xml:space="preserve"> is the design matrix of environmental covariates at each camera site, and f(s</w:t>
      </w:r>
      <w:r>
        <w:rPr>
          <w:rFonts w:eastAsiaTheme="minorEastAsia"/>
          <w:vertAlign w:val="subscript"/>
        </w:rPr>
        <w:t>i</w:t>
      </w:r>
      <w:r w:rsidR="002C410F">
        <w:rPr>
          <w:rFonts w:eastAsiaTheme="minorEastAsia"/>
          <w:vertAlign w:val="subscript"/>
        </w:rPr>
        <w:t>t</w:t>
      </w:r>
      <w:r>
        <w:rPr>
          <w:rFonts w:eastAsiaTheme="minorEastAsia"/>
        </w:rPr>
        <w:t>) is the spatial spline with s</w:t>
      </w:r>
      <w:r>
        <w:rPr>
          <w:rFonts w:eastAsiaTheme="minorEastAsia"/>
          <w:vertAlign w:val="subscript"/>
        </w:rPr>
        <w:t>i</w:t>
      </w:r>
      <w:r>
        <w:rPr>
          <w:rFonts w:eastAsiaTheme="minorEastAsia"/>
        </w:rPr>
        <w:t xml:space="preserve"> representing the coordinates of camera site </w:t>
      </w:r>
      <w:r>
        <w:rPr>
          <w:rFonts w:eastAsiaTheme="minorEastAsia"/>
          <w:i/>
          <w:iCs/>
        </w:rPr>
        <w:t xml:space="preserve">i </w:t>
      </w:r>
      <w:r>
        <w:rPr>
          <w:rFonts w:eastAsiaTheme="minorEastAsia"/>
        </w:rPr>
        <w:t xml:space="preserve">and f() the </w:t>
      </w:r>
      <w:r w:rsidR="008D06A1">
        <w:rPr>
          <w:rFonts w:eastAsiaTheme="minorEastAsia"/>
        </w:rPr>
        <w:t>2-dimensional</w:t>
      </w:r>
      <w:r>
        <w:rPr>
          <w:rFonts w:eastAsiaTheme="minorEastAsia"/>
        </w:rPr>
        <w:t xml:space="preserve"> cubic spline function (</w:t>
      </w:r>
      <w:r w:rsidR="0078311A">
        <w:rPr>
          <w:rFonts w:eastAsiaTheme="minorEastAsia"/>
        </w:rPr>
        <w:t xml:space="preserve">Crainiceanu et al. 2005, </w:t>
      </w:r>
      <w:r>
        <w:rPr>
          <w:rFonts w:eastAsiaTheme="minorEastAsia"/>
        </w:rPr>
        <w:t xml:space="preserve">Guelat and Kery 2018). </w:t>
      </w:r>
    </w:p>
    <w:p w14:paraId="690A698B" w14:textId="6BC597E1" w:rsidR="0065235A" w:rsidRDefault="00DD4F9A" w:rsidP="0065235A">
      <w:pPr>
        <w:rPr>
          <w:rFonts w:eastAsiaTheme="minorEastAsia"/>
        </w:rPr>
      </w:pPr>
      <w:r>
        <w:rPr>
          <w:rFonts w:eastAsiaTheme="minorEastAsia"/>
        </w:rPr>
        <w:t>The environmental covariates included in the abundance part of the model included bear management zone, an interaction between bear management zone and year</w:t>
      </w:r>
      <w:r w:rsidR="007A4CFE">
        <w:rPr>
          <w:rFonts w:eastAsiaTheme="minorEastAsia"/>
        </w:rPr>
        <w:t xml:space="preserve"> as a numeric variable to detect trends across time</w:t>
      </w:r>
      <w:r w:rsidR="00494216">
        <w:rPr>
          <w:rFonts w:eastAsiaTheme="minorEastAsia"/>
        </w:rPr>
        <w:t xml:space="preserve"> (Kery and Royle 2021?, actually seen in Gurney et al. 2025 and in Twining et al. 2024)</w:t>
      </w:r>
      <w:r>
        <w:rPr>
          <w:rFonts w:eastAsiaTheme="minorEastAsia"/>
        </w:rPr>
        <w:t>, proportion of corn land cover as a multi-scale variable from USDA Cropland</w:t>
      </w:r>
      <w:r w:rsidR="00FF0A75">
        <w:rPr>
          <w:rFonts w:eastAsiaTheme="minorEastAsia"/>
        </w:rPr>
        <w:t xml:space="preserve"> Data Layer 2019-2024</w:t>
      </w:r>
      <w:r w:rsidR="00D15B3A">
        <w:rPr>
          <w:rFonts w:eastAsiaTheme="minorEastAsia"/>
        </w:rPr>
        <w:t xml:space="preserve"> only for the summer model as </w:t>
      </w:r>
      <w:r w:rsidR="00646EA5">
        <w:rPr>
          <w:rFonts w:eastAsiaTheme="minorEastAsia"/>
        </w:rPr>
        <w:t xml:space="preserve">the milking stage in late summer is when bears are attracted to corn as a food source </w:t>
      </w:r>
      <w:r w:rsidR="00FF0A75">
        <w:rPr>
          <w:rFonts w:eastAsiaTheme="minorEastAsia"/>
        </w:rPr>
        <w:t>(</w:t>
      </w:r>
      <w:r w:rsidR="00FF0A75" w:rsidRPr="00FF0A75">
        <w:rPr>
          <w:rFonts w:eastAsiaTheme="minorEastAsia"/>
          <w:highlight w:val="yellow"/>
        </w:rPr>
        <w:t>USDA I don’t know how to parenthetically cite this</w:t>
      </w:r>
      <w:r w:rsidR="00494216">
        <w:rPr>
          <w:rFonts w:eastAsiaTheme="minorEastAsia"/>
        </w:rPr>
        <w:t xml:space="preserve">, </w:t>
      </w:r>
      <w:r w:rsidR="00646EA5">
        <w:rPr>
          <w:rFonts w:eastAsiaTheme="minorEastAsia"/>
        </w:rPr>
        <w:t>Ditmer et al. 2016</w:t>
      </w:r>
      <w:r w:rsidR="00FF0A75">
        <w:rPr>
          <w:rFonts w:eastAsiaTheme="minorEastAsia"/>
        </w:rPr>
        <w:t>)</w:t>
      </w:r>
      <w:r>
        <w:rPr>
          <w:rFonts w:eastAsiaTheme="minorEastAsia"/>
        </w:rPr>
        <w:t xml:space="preserve">, </w:t>
      </w:r>
      <w:r w:rsidR="00FF0A75">
        <w:rPr>
          <w:rFonts w:eastAsiaTheme="minorEastAsia"/>
        </w:rPr>
        <w:t>proportion developed land cover</w:t>
      </w:r>
      <w:r w:rsidR="00646EA5">
        <w:rPr>
          <w:rFonts w:eastAsiaTheme="minorEastAsia"/>
        </w:rPr>
        <w:t xml:space="preserve"> (</w:t>
      </w:r>
      <w:r w:rsidR="00FF0A75">
        <w:rPr>
          <w:rFonts w:eastAsiaTheme="minorEastAsia"/>
        </w:rPr>
        <w:t>, deciduous forest land cover and proportion of wetland land cover from Wiscland2 (</w:t>
      </w:r>
      <w:r w:rsidR="005B427B">
        <w:rPr>
          <w:rFonts w:eastAsiaTheme="minorEastAsia"/>
        </w:rPr>
        <w:t xml:space="preserve">MacFarland 2009, Sadeghpour and Ginnett 2011, </w:t>
      </w:r>
      <w:r w:rsidR="00FF0A75">
        <w:rPr>
          <w:rFonts w:eastAsiaTheme="minorEastAsia"/>
        </w:rPr>
        <w:t xml:space="preserve">WDNR 2016), </w:t>
      </w:r>
      <w:r w:rsidR="005B63C4">
        <w:rPr>
          <w:rFonts w:eastAsiaTheme="minorEastAsia"/>
        </w:rPr>
        <w:t>and proportion of forest disturbance derived from the historic disturbance layer of USDA LANDFIRE (</w:t>
      </w:r>
      <w:r w:rsidR="005B427B">
        <w:rPr>
          <w:rFonts w:eastAsiaTheme="minorEastAsia"/>
        </w:rPr>
        <w:t xml:space="preserve">Litvaitis 2001, </w:t>
      </w:r>
      <w:r w:rsidR="005B63C4">
        <w:rPr>
          <w:rFonts w:eastAsiaTheme="minorEastAsia"/>
        </w:rPr>
        <w:t xml:space="preserve">LANDFIRE 2016). Cropland data was downloaded using CropScapeR </w:t>
      </w:r>
      <w:r w:rsidR="00AF447A">
        <w:rPr>
          <w:rFonts w:eastAsiaTheme="minorEastAsia"/>
        </w:rPr>
        <w:t xml:space="preserve">(Chen 2020) </w:t>
      </w:r>
      <w:r w:rsidR="005B63C4">
        <w:rPr>
          <w:rFonts w:eastAsiaTheme="minorEastAsia"/>
        </w:rPr>
        <w:t>and Landfire data was downloaded using rlandfire (Buckner 2026).</w:t>
      </w:r>
      <w:r w:rsidR="00494216">
        <w:rPr>
          <w:rFonts w:eastAsiaTheme="minorEastAsia"/>
        </w:rPr>
        <w:t xml:space="preserve"> </w:t>
      </w:r>
    </w:p>
    <w:p w14:paraId="72A8E3CD" w14:textId="39757D1E" w:rsidR="00494216" w:rsidRDefault="00494216" w:rsidP="0065235A">
      <w:pPr>
        <w:rPr>
          <w:rFonts w:eastAsiaTheme="minorEastAsia"/>
        </w:rPr>
      </w:pPr>
      <w:r>
        <w:rPr>
          <w:rFonts w:eastAsiaTheme="minorEastAsia"/>
        </w:rPr>
        <w:t xml:space="preserve">Environmental covariates </w:t>
      </w:r>
    </w:p>
    <w:p w14:paraId="46256D77" w14:textId="5E2E9CDD" w:rsidR="00D15B3A" w:rsidRPr="00DD4F9A" w:rsidRDefault="0078311A" w:rsidP="0065235A">
      <w:pPr>
        <w:rPr>
          <w:rFonts w:eastAsiaTheme="minorEastAsia"/>
        </w:rPr>
      </w:pPr>
      <w:r>
        <w:rPr>
          <w:rFonts w:eastAsiaTheme="minorEastAsia"/>
        </w:rPr>
        <w:t>The observation part of the is modeled with the detection probability p</w:t>
      </w:r>
      <w:r>
        <w:rPr>
          <w:rFonts w:eastAsiaTheme="minorEastAsia"/>
          <w:vertAlign w:val="subscript"/>
        </w:rPr>
        <w:t>ij</w:t>
      </w:r>
      <w:r>
        <w:rPr>
          <w:rFonts w:eastAsiaTheme="minorEastAsia"/>
        </w:rPr>
        <w:t xml:space="preserve"> at camera site </w:t>
      </w:r>
      <w:r w:rsidR="00707BDD">
        <w:rPr>
          <w:rFonts w:eastAsiaTheme="minorEastAsia"/>
          <w:i/>
          <w:iCs/>
        </w:rPr>
        <w:t>i</w:t>
      </w:r>
      <w:r>
        <w:rPr>
          <w:rFonts w:eastAsiaTheme="minorEastAsia"/>
        </w:rPr>
        <w:t xml:space="preserve"> during occasion </w:t>
      </w:r>
      <w:r>
        <w:rPr>
          <w:rFonts w:eastAsiaTheme="minorEastAsia"/>
          <w:i/>
          <w:iCs/>
        </w:rPr>
        <w:t>j</w:t>
      </w:r>
      <w:r>
        <w:rPr>
          <w:rFonts w:eastAsiaTheme="minorEastAsia"/>
        </w:rPr>
        <w:t xml:space="preserve"> as a function of the abundance at the camera site N</w:t>
      </w:r>
      <w:r>
        <w:rPr>
          <w:rFonts w:eastAsiaTheme="minorEastAsia"/>
          <w:vertAlign w:val="subscript"/>
        </w:rPr>
        <w:t>i</w:t>
      </w:r>
      <w:r>
        <w:rPr>
          <w:rFonts w:eastAsiaTheme="minorEastAsia"/>
        </w:rPr>
        <w:t xml:space="preserve"> and the per-individual detection probability r</w:t>
      </w:r>
      <w:r>
        <w:rPr>
          <w:rFonts w:eastAsiaTheme="minorEastAsia"/>
          <w:vertAlign w:val="subscript"/>
        </w:rPr>
        <w:t>ij</w:t>
      </w:r>
      <w:r>
        <w:rPr>
          <w:rFonts w:eastAsiaTheme="minorEastAsia"/>
        </w:rPr>
        <w:t>. Covariates influencing r</w:t>
      </w:r>
      <w:r>
        <w:rPr>
          <w:rFonts w:eastAsiaTheme="minorEastAsia"/>
          <w:vertAlign w:val="subscript"/>
        </w:rPr>
        <w:t>ij</w:t>
      </w:r>
      <w:r>
        <w:rPr>
          <w:rFonts w:eastAsiaTheme="minorEastAsia"/>
        </w:rPr>
        <w:t xml:space="preserve"> can then be modeled as a generalized linear model with a logit link function</w:t>
      </w:r>
      <w:r w:rsidR="00707BDD">
        <w:rPr>
          <w:rFonts w:eastAsiaTheme="minorEastAsia"/>
        </w:rPr>
        <w:t>:</w:t>
      </w:r>
    </w:p>
    <w:p w14:paraId="3C4A1389" w14:textId="086C49F3" w:rsidR="00D16268" w:rsidRPr="0078311A" w:rsidRDefault="00000000" w:rsidP="00945FA4">
      <w:pPr>
        <w:rPr>
          <w:rFonts w:eastAsiaTheme="minorEastAsia"/>
        </w:rPr>
      </w:pPr>
      <m:oMathPara>
        <m:oMath>
          <m:sSub>
            <m:sSubPr>
              <m:ctrlPr>
                <w:rPr>
                  <w:rFonts w:ascii="Cambria Math" w:hAnsi="Cambria Math"/>
                  <w:i/>
                </w:rPr>
              </m:ctrlPr>
            </m:sSubPr>
            <m:e>
              <m:r>
                <m:rPr>
                  <m:sty m:val="p"/>
                </m:rPr>
                <w:rPr>
                  <w:rFonts w:ascii="Cambria Math" w:hAnsi="Cambria Math"/>
                </w:rPr>
                <m:t>p</m:t>
              </m:r>
            </m:e>
            <m:sub>
              <m:r>
                <w:rPr>
                  <w:rFonts w:ascii="Cambria Math" w:hAnsi="Cambria Math"/>
                </w:rPr>
                <m:t>i</m:t>
              </m:r>
              <m:r>
                <w:rPr>
                  <w:rFonts w:ascii="Cambria Math" w:hAnsi="Cambria Math"/>
                </w:rPr>
                <m:t>t</m:t>
              </m:r>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1-(1-</m:t>
              </m:r>
              <m:sSub>
                <m:sSubPr>
                  <m:ctrlPr>
                    <w:rPr>
                      <w:rFonts w:ascii="Cambria Math" w:hAnsi="Cambria Math"/>
                      <w:i/>
                    </w:rPr>
                  </m:ctrlPr>
                </m:sSubPr>
                <m:e>
                  <m:r>
                    <w:rPr>
                      <w:rFonts w:ascii="Cambria Math" w:hAnsi="Cambria Math"/>
                    </w:rPr>
                    <m:t>r</m:t>
                  </m:r>
                </m:e>
                <m:sub>
                  <m:r>
                    <w:rPr>
                      <w:rFonts w:ascii="Cambria Math" w:hAnsi="Cambria Math"/>
                    </w:rPr>
                    <m:t>i</m:t>
                  </m:r>
                  <m:r>
                    <w:rPr>
                      <w:rFonts w:ascii="Cambria Math" w:hAnsi="Cambria Math"/>
                    </w:rPr>
                    <m:t>t</m:t>
                  </m:r>
                  <m:r>
                    <w:rPr>
                      <w:rFonts w:ascii="Cambria Math" w:hAnsi="Cambria Math"/>
                    </w:rPr>
                    <m:t>j</m:t>
                  </m:r>
                </m:sub>
              </m:sSub>
              <m:r>
                <w:rPr>
                  <w:rFonts w:ascii="Cambria Math" w:hAnsi="Cambria Math"/>
                </w:rPr>
                <m:t>)</m:t>
              </m:r>
            </m:e>
            <m:sup>
              <m:sSub>
                <m:sSubPr>
                  <m:ctrlPr>
                    <w:rPr>
                      <w:rFonts w:ascii="Cambria Math" w:hAnsi="Cambria Math"/>
                      <w:i/>
                    </w:rPr>
                  </m:ctrlPr>
                </m:sSubPr>
                <m:e>
                  <m:r>
                    <w:rPr>
                      <w:rFonts w:ascii="Cambria Math" w:hAnsi="Cambria Math"/>
                    </w:rPr>
                    <m:t>N</m:t>
                  </m:r>
                </m:e>
                <m:sub>
                  <m:r>
                    <w:rPr>
                      <w:rFonts w:ascii="Cambria Math" w:hAnsi="Cambria Math"/>
                    </w:rPr>
                    <m:t>i</m:t>
                  </m:r>
                  <m:r>
                    <w:rPr>
                      <w:rFonts w:ascii="Cambria Math" w:hAnsi="Cambria Math"/>
                    </w:rPr>
                    <m:t>t</m:t>
                  </m:r>
                </m:sub>
              </m:sSub>
            </m:sup>
          </m:sSup>
        </m:oMath>
      </m:oMathPara>
    </w:p>
    <w:p w14:paraId="15A8B46C" w14:textId="429C1DDA" w:rsidR="0078311A" w:rsidRPr="00707BDD" w:rsidRDefault="0078311A" w:rsidP="0078311A">
      <w:pPr>
        <w:jc w:val="center"/>
        <w:rPr>
          <w:rFonts w:eastAsiaTheme="minorEastAsia"/>
        </w:rPr>
      </w:pPr>
      <m:oMathPara>
        <m:oMath>
          <m:r>
            <w:rPr>
              <w:rFonts w:ascii="Cambria Math" w:hAnsi="Cambria Math"/>
            </w:rPr>
            <w:lastRenderedPageBreak/>
            <m:t>logit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r>
                    <w:rPr>
                      <w:rFonts w:ascii="Cambria Math" w:hAnsi="Cambria Math"/>
                    </w:rPr>
                    <m:t>t</m:t>
                  </m:r>
                </m:sub>
              </m:sSub>
            </m:e>
          </m:d>
          <m:r>
            <w:rPr>
              <w:rFonts w:ascii="Cambria Math" w:hAnsi="Cambria Math"/>
            </w:rPr>
            <m:t xml:space="preserve">= </m:t>
          </m:r>
          <m:r>
            <m:rPr>
              <m:sty m:val="bi"/>
            </m:rPr>
            <w:rPr>
              <w:rFonts w:ascii="Cambria Math" w:hAnsi="Cambria Math"/>
            </w:rPr>
            <m:t>α</m:t>
          </m:r>
          <m:sSub>
            <m:sSubPr>
              <m:ctrlPr>
                <w:rPr>
                  <w:rFonts w:ascii="Cambria Math" w:hAnsi="Cambria Math"/>
                  <w:b/>
                  <w:bCs/>
                  <w:i/>
                </w:rPr>
              </m:ctrlPr>
            </m:sSubPr>
            <m:e>
              <m:r>
                <m:rPr>
                  <m:sty m:val="bi"/>
                </m:rPr>
                <w:rPr>
                  <w:rFonts w:ascii="Cambria Math" w:hAnsi="Cambria Math"/>
                </w:rPr>
                <m:t>X</m:t>
              </m:r>
            </m:e>
            <m:sub>
              <m:r>
                <w:rPr>
                  <w:rFonts w:ascii="Cambria Math" w:hAnsi="Cambria Math"/>
                </w:rPr>
                <m:t>i</m:t>
              </m:r>
              <m:r>
                <w:rPr>
                  <w:rFonts w:ascii="Cambria Math" w:hAnsi="Cambria Math"/>
                </w:rPr>
                <m:t>t</m:t>
              </m:r>
              <m:r>
                <w:rPr>
                  <w:rFonts w:ascii="Cambria Math" w:hAnsi="Cambria Math"/>
                </w:rPr>
                <m:t>j</m:t>
              </m:r>
            </m:sub>
          </m:sSub>
          <m:r>
            <m:rPr>
              <m:sty m:val="bi"/>
            </m:rPr>
            <w:rPr>
              <w:rFonts w:ascii="Cambria Math" w:hAnsi="Cambria Math"/>
            </w:rPr>
            <m:t xml:space="preserve">+  </m:t>
          </m:r>
          <m:r>
            <w:rPr>
              <w:rFonts w:ascii="Cambria Math" w:hAnsi="Cambria Math"/>
            </w:rPr>
            <m:t>f(</m:t>
          </m:r>
          <m:sSub>
            <m:sSubPr>
              <m:ctrlPr>
                <w:rPr>
                  <w:rFonts w:ascii="Cambria Math" w:hAnsi="Cambria Math"/>
                  <w:i/>
                </w:rPr>
              </m:ctrlPr>
            </m:sSubPr>
            <m:e>
              <m:r>
                <w:rPr>
                  <w:rFonts w:ascii="Cambria Math" w:hAnsi="Cambria Math"/>
                </w:rPr>
                <m:t>z</m:t>
              </m:r>
            </m:e>
            <m:sub>
              <m:r>
                <w:rPr>
                  <w:rFonts w:ascii="Cambria Math" w:hAnsi="Cambria Math"/>
                </w:rPr>
                <m:t>i</m:t>
              </m:r>
              <m:r>
                <w:rPr>
                  <w:rFonts w:ascii="Cambria Math" w:hAnsi="Cambria Math"/>
                </w:rPr>
                <m:t>t</m:t>
              </m:r>
              <m:r>
                <w:rPr>
                  <w:rFonts w:ascii="Cambria Math" w:hAnsi="Cambria Math"/>
                </w:rPr>
                <m:t>j</m:t>
              </m:r>
            </m:sub>
          </m:sSub>
          <m:r>
            <w:rPr>
              <w:rFonts w:ascii="Cambria Math" w:hAnsi="Cambria Math"/>
            </w:rPr>
            <m:t>)</m:t>
          </m:r>
        </m:oMath>
      </m:oMathPara>
    </w:p>
    <w:p w14:paraId="150E555A" w14:textId="7D393057" w:rsidR="00707BDD" w:rsidRDefault="00707BDD" w:rsidP="00707BDD">
      <w:r>
        <w:t xml:space="preserve">Where </w:t>
      </w:r>
      <w:r>
        <w:rPr>
          <w:b/>
          <w:bCs/>
        </w:rPr>
        <w:t>α</w:t>
      </w:r>
      <w:r w:rsidRPr="00707BDD">
        <w:rPr>
          <w:b/>
          <w:bCs/>
          <w:vertAlign w:val="subscript"/>
        </w:rPr>
        <w:t>k</w:t>
      </w:r>
      <w:r>
        <w:rPr>
          <w:b/>
          <w:bCs/>
          <w:vertAlign w:val="subscript"/>
        </w:rPr>
        <w:t xml:space="preserve"> </w:t>
      </w:r>
      <w:r>
        <w:t>is a vector of regression coefficients, X</w:t>
      </w:r>
      <w:r>
        <w:rPr>
          <w:vertAlign w:val="subscript"/>
        </w:rPr>
        <w:t>ijk</w:t>
      </w:r>
      <w:r>
        <w:t xml:space="preserve"> is the design matrix of covariates at each camera site </w:t>
      </w:r>
      <w:r>
        <w:rPr>
          <w:i/>
          <w:iCs/>
        </w:rPr>
        <w:t xml:space="preserve">I </w:t>
      </w:r>
      <w:r>
        <w:t xml:space="preserve">and occasion </w:t>
      </w:r>
      <w:r>
        <w:rPr>
          <w:i/>
          <w:iCs/>
        </w:rPr>
        <w:t>j</w:t>
      </w:r>
      <w:r>
        <w:t xml:space="preserve"> and f(z</w:t>
      </w:r>
      <w:r>
        <w:rPr>
          <w:vertAlign w:val="subscript"/>
        </w:rPr>
        <w:t>ij</w:t>
      </w:r>
      <w:r>
        <w:t>) is a penalized spline allowing for a non-linear response in the relationship between EVI and detection probability.</w:t>
      </w:r>
    </w:p>
    <w:p w14:paraId="44CDEE02" w14:textId="7B464B50" w:rsidR="005D3194" w:rsidRPr="005D3194" w:rsidRDefault="005D3194" w:rsidP="00707BDD">
      <w:r>
        <w:t xml:space="preserve">For the detection submodel an effect of camera </w:t>
      </w:r>
      <w:r w:rsidRPr="005D3194">
        <w:rPr>
          <w:highlight w:val="yellow"/>
        </w:rPr>
        <w:t>model</w:t>
      </w:r>
      <w:r>
        <w:t xml:space="preserve">, the number of days a camera was active during an occasion, and the enhanced vegetation index (EVI) as a non-linear effect were included in the linear model of </w:t>
      </w:r>
      <w:r>
        <w:rPr>
          <w:i/>
          <w:iCs/>
        </w:rPr>
        <w:t>r</w:t>
      </w:r>
      <w:r>
        <w:rPr>
          <w:vertAlign w:val="subscript"/>
        </w:rPr>
        <w:t>ij</w:t>
      </w:r>
      <w:r>
        <w:t>. Internal investigation has indicated that there is a difference in detection of the two primary camera models used by SSWI. EVI was included as opposed to a time variable like Julian day given the large extent of the study area, meaning that EVI can be a more comparable indicator of the changing in season across the spatial extent of the study area as opposed to time (</w:t>
      </w:r>
      <w:r w:rsidRPr="005D3194">
        <w:rPr>
          <w:highlight w:val="yellow"/>
        </w:rPr>
        <w:t>citation?</w:t>
      </w:r>
      <w:r>
        <w:t>). EVI as a predictor of season, was predicted to have a non-linear effect given the life history and activity levels of bears across the year with a nadir of activity in winter due to hibernation and a peak in summer (</w:t>
      </w:r>
      <w:r w:rsidRPr="005D3194">
        <w:rPr>
          <w:highlight w:val="yellow"/>
        </w:rPr>
        <w:t>citation?, SSWI data dashboard</w:t>
      </w:r>
      <w:r>
        <w:t xml:space="preserve">). </w:t>
      </w:r>
      <w:r w:rsidR="007A47EA">
        <w:t>This non-linear effect was modeled using a spline (</w:t>
      </w:r>
      <w:r w:rsidR="007A47EA" w:rsidRPr="007A47EA">
        <w:rPr>
          <w:highlight w:val="yellow"/>
        </w:rPr>
        <w:t>what kind?</w:t>
      </w:r>
      <w:r w:rsidR="007A47EA">
        <w:t>) as opposed to a polynomial due to local influence of spline parameters (McElreath 2020).</w:t>
      </w:r>
    </w:p>
    <w:p w14:paraId="3ADE9E3A" w14:textId="397C56A9" w:rsidR="008F4BFB" w:rsidRDefault="008F4BFB" w:rsidP="00707BDD">
      <w:pPr>
        <w:rPr>
          <w:b/>
          <w:bCs/>
        </w:rPr>
      </w:pPr>
      <w:r>
        <w:rPr>
          <w:b/>
          <w:bCs/>
        </w:rPr>
        <w:t>Results</w:t>
      </w:r>
    </w:p>
    <w:p w14:paraId="38B765E1" w14:textId="3846CE70" w:rsidR="008F4BFB" w:rsidRDefault="008F4BFB" w:rsidP="00707BDD">
      <w:r>
        <w:t>In the spring model</w:t>
      </w:r>
      <w:r w:rsidR="00B65EED">
        <w:t>, developed land cover had a strong negative effect (-0.29, -0.39</w:t>
      </w:r>
      <w:r w:rsidR="00092ADE">
        <w:t>−</w:t>
      </w:r>
      <w:r w:rsidR="00092ADE">
        <w:t xml:space="preserve"> -</w:t>
      </w:r>
      <w:r w:rsidR="00B65EED">
        <w:t>0.19) on site abundance, wetland land cover (0.27, 0.22</w:t>
      </w:r>
      <w:r w:rsidR="00092ADE">
        <w:t>−</w:t>
      </w:r>
      <w:r w:rsidR="00B65EED">
        <w:t>0.32) and to a lesser extent deciduous forest land cover (0.10, 0.04</w:t>
      </w:r>
      <w:r w:rsidR="00092ADE">
        <w:t>−</w:t>
      </w:r>
      <w:r w:rsidR="00B65EED">
        <w:t>0.15) had a positive effect on site abundance and there was little evidence for an effect of forest disturbance (0.02, -0.03</w:t>
      </w:r>
      <w:r w:rsidR="00092ADE">
        <w:t>−</w:t>
      </w:r>
      <w:r w:rsidR="00B65EED">
        <w:t>0.06) on site abundance.</w:t>
      </w:r>
      <w:r w:rsidR="00451B33">
        <w:t xml:space="preserve"> Scale selection for the environmental covariates had a strongly supported spatial scale of effect for developed land cover (0.5km buffer), deciduous forest land cover (0.5km) and wetlands land cover (0.5km buffer) and equivocal support for disturbance which showed little evidence of an overall effect.</w:t>
      </w:r>
      <w:r w:rsidR="00967502">
        <w:t xml:space="preserve"> </w:t>
      </w:r>
      <w:r w:rsidR="00092ADE">
        <w:t>Site abundance in Zone D was the highest followed by Zones A, B, C, F and E. The temporal trend across years showed a decreasing trend for Zone D (-0.18, -0.27 − -0.09) while other zones showed marginal Zone C (0.08, -0.03</w:t>
      </w:r>
      <w:r w:rsidR="00092ADE">
        <w:t>−</w:t>
      </w:r>
      <w:r w:rsidR="00092ADE">
        <w:t>0.19), Zone E(0.15, -0.06</w:t>
      </w:r>
      <w:r w:rsidR="00092ADE">
        <w:t>−</w:t>
      </w:r>
      <w:r w:rsidR="00092ADE">
        <w:t>0.37) and Zone F(0.13, -0.23</w:t>
      </w:r>
      <w:r w:rsidR="00092ADE">
        <w:t>−</w:t>
      </w:r>
      <w:r w:rsidR="00092ADE">
        <w:t>0.48) or negligible trends Zone A (-0.03, -0.11</w:t>
      </w:r>
      <w:r w:rsidR="00092ADE">
        <w:t>−</w:t>
      </w:r>
      <w:r w:rsidR="00092ADE">
        <w:t>0.04) and Zone B (</w:t>
      </w:r>
      <w:r w:rsidR="00B322D6">
        <w:t>-0.03, -0.12</w:t>
      </w:r>
      <w:r w:rsidR="00B322D6">
        <w:t>−</w:t>
      </w:r>
      <w:r w:rsidR="00B322D6">
        <w:t>0.06). Accounting for the area of each zone Zone A has the largest population at ### followed by Zone D, B,C,E and F.</w:t>
      </w:r>
    </w:p>
    <w:p w14:paraId="71387801" w14:textId="2E5C7038" w:rsidR="00B322D6" w:rsidRPr="008F4BFB" w:rsidRDefault="00B322D6" w:rsidP="00707BDD">
      <w:r>
        <w:t>For the summer model, developed land cover had a strong negative effect (-0.29, -0.38−      -0.21), forest disturbance had a marginal positive effect (0.07, 0.04</w:t>
      </w:r>
      <w:r>
        <w:t>−</w:t>
      </w:r>
      <w:r>
        <w:t>0.10), deciduous forest had a positive effect (0.12, 0.07</w:t>
      </w:r>
      <w:r>
        <w:t>−</w:t>
      </w:r>
      <w:r>
        <w:t xml:space="preserve">0.17), wetlands had a strong positive effect (0.25, 0.21-0.3) and corn had a marginal positive effect (0.08, 0.01-0.15). </w:t>
      </w:r>
      <w:r w:rsidR="00451B33">
        <w:t>Scale selection showed strong support for</w:t>
      </w:r>
      <w:r w:rsidR="009A4033">
        <w:t xml:space="preserve"> all variables: corn land cover (2.5km),</w:t>
      </w:r>
      <w:r w:rsidR="00451B33">
        <w:t xml:space="preserve"> deciduous forest (0.5km buffer), </w:t>
      </w:r>
      <w:r w:rsidR="00451B33">
        <w:lastRenderedPageBreak/>
        <w:t>developed land cover (</w:t>
      </w:r>
      <w:r w:rsidR="009A4033">
        <w:t>2</w:t>
      </w:r>
      <w:r w:rsidR="00451B33">
        <w:t>.5km)</w:t>
      </w:r>
      <w:r w:rsidR="009A4033">
        <w:t xml:space="preserve">, forest disturbance (1km buffer) and wetland cover (0.5km). </w:t>
      </w:r>
      <w:r w:rsidR="00451B33">
        <w:t>Site abundance in Zone D was highest followed by Zone A, F, B, C, and E. Population trend in Zone D shows a decrease (-0.09, -0.17</w:t>
      </w:r>
      <w:r w:rsidR="00451B33">
        <w:t>−</w:t>
      </w:r>
      <w:r w:rsidR="00451B33">
        <w:t xml:space="preserve"> -0.02), population trends in Zones E (0.12. -0.05 – 0.29) and F (0.16, -0.11 – 0.45) show possible increasing trend but with large uncertainty. Zone A shows a marginal decreasing trend (-0.04, -0.10 – 0.02) and Zone B shows a stable trend (-0.01, -0.08 – 0.06).</w:t>
      </w:r>
    </w:p>
    <w:p w14:paraId="58D76289" w14:textId="03D855C4" w:rsidR="00945FA4" w:rsidRDefault="00945FA4" w:rsidP="00945FA4">
      <w:r>
        <w:t>This methodology is meant to provide a broadly-applicable index across species from a long term, large scale network, and can serve as a early indicator of what species trends might need further investigation with more specialized modeling in a reality of limited capacity staff/funding.</w:t>
      </w:r>
    </w:p>
    <w:p w14:paraId="2F5B2DC5" w14:textId="10DA859B" w:rsidR="001F0C38" w:rsidRDefault="001F0C38" w:rsidP="00945FA4">
      <w:pPr>
        <w:rPr>
          <w:b/>
          <w:bCs/>
        </w:rPr>
      </w:pPr>
      <w:r>
        <w:rPr>
          <w:b/>
          <w:bCs/>
        </w:rPr>
        <w:t xml:space="preserve">Discussion </w:t>
      </w:r>
    </w:p>
    <w:p w14:paraId="1854693F" w14:textId="035BD258" w:rsidR="001F0C38" w:rsidRDefault="001F0C38" w:rsidP="00945FA4">
      <w:r w:rsidRPr="001F0C38">
        <w:t>Comparison of estimates from bait station based model to capture-recapture estimates was 2.6x difference can SSWI provide better than that?</w:t>
      </w:r>
    </w:p>
    <w:p w14:paraId="2946020E" w14:textId="2080CE93" w:rsidR="001823B6" w:rsidRPr="001F0C38" w:rsidRDefault="001823B6" w:rsidP="00945FA4">
      <w:r>
        <w:t>Touch on why not an integrated model</w:t>
      </w:r>
    </w:p>
    <w:p w14:paraId="073EADC9" w14:textId="77777777" w:rsidR="00945FA4" w:rsidRDefault="00945FA4" w:rsidP="00A27770"/>
    <w:p w14:paraId="689AD65E" w14:textId="7ADB4645" w:rsidR="00067A63" w:rsidRDefault="00067A63" w:rsidP="00A27770">
      <w:r w:rsidRPr="00067A63">
        <w:t>Allen, M. L., A. S. Norton, G. Stauffer, N. M. Roberts, Y. Luo, Q. Li, D. M. MacFarland, and T. R. V. Deelen. 2018. A Bayesian state-space model using age-at-harvest data for estimating the population of black bears (Ursus americanus) in Wisconsin. Scientific Reports 8.</w:t>
      </w:r>
    </w:p>
    <w:p w14:paraId="53B256A1" w14:textId="38C7EB4E" w:rsidR="005B63C4" w:rsidRDefault="005B63C4" w:rsidP="00A27770">
      <w:r w:rsidRPr="005B63C4">
        <w:t>Mark A. Buckner (2026). </w:t>
      </w:r>
      <w:r w:rsidRPr="005B63C4">
        <w:rPr>
          <w:i/>
          <w:iCs/>
        </w:rPr>
        <w:t>rlandfire: Interface to 'LANDFIRE Product Service' API</w:t>
      </w:r>
      <w:r w:rsidRPr="005B63C4">
        <w:t>. </w:t>
      </w:r>
      <w:hyperlink r:id="rId5" w:history="1">
        <w:r w:rsidRPr="005B63C4">
          <w:rPr>
            <w:rStyle w:val="Hyperlink"/>
          </w:rPr>
          <w:t>doi:10.6084/m9.figshare.22203250</w:t>
        </w:r>
      </w:hyperlink>
      <w:r w:rsidRPr="005B63C4">
        <w:t>, R Package version 2.0.2, </w:t>
      </w:r>
      <w:hyperlink r:id="rId6" w:history="1">
        <w:r w:rsidRPr="005B63C4">
          <w:rPr>
            <w:rStyle w:val="Hyperlink"/>
          </w:rPr>
          <w:t>https://CRAN.R-project.org/package=rlandfire</w:t>
        </w:r>
      </w:hyperlink>
      <w:r w:rsidRPr="005B63C4">
        <w:t>.</w:t>
      </w:r>
    </w:p>
    <w:p w14:paraId="141451D6" w14:textId="548A2374" w:rsidR="00AF447A" w:rsidRDefault="00AF447A" w:rsidP="00A27770">
      <w:r w:rsidRPr="00AF447A">
        <w:t xml:space="preserve">Bowen Chen (2020). CropScapeR: Access Cropland Data Layer Data via the 'CropScape' Web Service. R package version 1.1.5. </w:t>
      </w:r>
    </w:p>
    <w:p w14:paraId="3617F89A" w14:textId="23E2ED32" w:rsidR="00432623" w:rsidRDefault="00432623" w:rsidP="00A27770">
      <w:r w:rsidRPr="00432623">
        <w:t>Crainiceanu, C., D. Ruppert, and M. P. Wand. 2005. Bayesian Analysis for Penalized Spline Regression Using WinBUGS. Journal of Statistical Software 14.</w:t>
      </w:r>
    </w:p>
    <w:p w14:paraId="432749FB" w14:textId="488EC9BA" w:rsidR="0065235A" w:rsidRDefault="0065235A" w:rsidP="00A27770">
      <w:r w:rsidRPr="0065235A">
        <w:t>Guélat, J., and M. Kéry. 2018. Effects of spatial autocorrelation and imperfect detection on species distribution models. Methods in Ecology and Evolution 9:1614–1625.</w:t>
      </w:r>
    </w:p>
    <w:p w14:paraId="410C0284" w14:textId="3511B456" w:rsidR="00CE5788" w:rsidRDefault="00CE5788" w:rsidP="00A27770">
      <w:r w:rsidRPr="00CE5788">
        <w:t>Kery, M. &amp; Royle, J.A. (2015). Applied hierarchical modeling in ecology—Modeling distribution, abundance and species richness using R and BUGS. Volume 1: Prelude and Static Models. Academic Press, 808pp.</w:t>
      </w:r>
    </w:p>
    <w:p w14:paraId="04AC3C21" w14:textId="292005A5" w:rsidR="005B63C4" w:rsidRDefault="005B63C4" w:rsidP="00A27770">
      <w:r w:rsidRPr="005B63C4">
        <w:lastRenderedPageBreak/>
        <w:t xml:space="preserve">LANDFIRE, 2016, </w:t>
      </w:r>
      <w:r>
        <w:t>Historical Disturbance</w:t>
      </w:r>
      <w:r w:rsidRPr="005B63C4">
        <w:t xml:space="preserve"> Layer, LANDFIRE 2.0.0, U.S. Department of the Interior, Geological Survey, and U.S. Department of Agriculture. Accessed 28 October 2021 at </w:t>
      </w:r>
      <w:hyperlink r:id="rId7" w:tgtFrame="_blank" w:history="1">
        <w:r w:rsidRPr="005B63C4">
          <w:rPr>
            <w:rStyle w:val="Hyperlink"/>
          </w:rPr>
          <w:t>http://www.landfire/viewer</w:t>
        </w:r>
      </w:hyperlink>
      <w:r w:rsidRPr="005B63C4">
        <w:t>.</w:t>
      </w:r>
    </w:p>
    <w:p w14:paraId="0EB33EC0" w14:textId="155E6DC8" w:rsidR="005B427B" w:rsidRDefault="005B427B" w:rsidP="00A27770">
      <w:r w:rsidRPr="005B427B">
        <w:t>Litvaitis, J. A. 2001. Importance of Early Successional Habitats to Mammals in Eastern Forests. Wildlife Society Bulletin 29:466–473.</w:t>
      </w:r>
    </w:p>
    <w:p w14:paraId="110775BC" w14:textId="3661D1B4" w:rsidR="00EB5504" w:rsidRDefault="00EB5504" w:rsidP="00A27770">
      <w:r w:rsidRPr="00EB5504">
        <w:t>MacFarland, D. M. Population estimation, habitat associations and range expansion of black bears in the upper midwest. Ph.D. Dissertation (University of Wisconsin, 2009).</w:t>
      </w:r>
    </w:p>
    <w:p w14:paraId="2F212FAB" w14:textId="3F167439" w:rsidR="005D3194" w:rsidRDefault="005D3194" w:rsidP="00A27770">
      <w:r w:rsidRPr="005D3194">
        <w:t>McElreath, R. 2020. Statistical Rethinking: A Bayesian Course with Examples in R and STAN, 2nd ed. Boca Raton, FL: Chapman and Hall/CRC.</w:t>
      </w:r>
    </w:p>
    <w:p w14:paraId="744C18EC" w14:textId="0812035F" w:rsidR="001A3247" w:rsidRDefault="001A3247" w:rsidP="00A27770">
      <w:r w:rsidRPr="001A3247">
        <w:t>Royle, J.A., Nichols, J.D., 2003. Estimating abundance from repeated presence-absence data or point counts. Ecology 84 (3), 777–790.</w:t>
      </w:r>
    </w:p>
    <w:p w14:paraId="3B94A21F" w14:textId="0BE62639" w:rsidR="00EB5504" w:rsidRDefault="00EB5504" w:rsidP="00A27770">
      <w:r w:rsidRPr="00EB5504">
        <w:t>Sadeghpour, M. H. &amp; Ginnett, T. F. Habitat selection by female American black bears in northern Wisconsin. Ursus 22, 159–166 (2011).</w:t>
      </w:r>
    </w:p>
    <w:p w14:paraId="6264A516" w14:textId="03808B76" w:rsidR="00FF0A75" w:rsidRPr="00FF0A75" w:rsidRDefault="00FF0A75" w:rsidP="00FF0A75">
      <w:r w:rsidRPr="00FF0A75">
        <w:t>United States Department of Agriculture (USDA) National Agricultural Statistics Service (NASS), 20260227, Cropland Data Layer: USDA NASS, USDA NASS Marketing and Information Services Office, Washington, D.C.</w:t>
      </w:r>
      <w:r>
        <w:t xml:space="preserve"> </w:t>
      </w:r>
      <w:hyperlink r:id="rId8" w:history="1">
        <w:r w:rsidRPr="00FF0A75">
          <w:rPr>
            <w:rStyle w:val="Hyperlink"/>
          </w:rPr>
          <w:t>https://croplandcros.scinet.usda.gov/</w:t>
        </w:r>
      </w:hyperlink>
    </w:p>
    <w:p w14:paraId="0FB92B32" w14:textId="6756C4F6" w:rsidR="00FF0A75" w:rsidRPr="00FF0A75" w:rsidRDefault="00FF0A75" w:rsidP="00FF0A75">
      <w:r w:rsidRPr="00FF0A75">
        <w:t xml:space="preserve">Wisconsin Department of Natural Resources [WDNR]. 2016. WISCLAND 2 land cover, Wisconsin 2016. https://geodata. wisc.edu/catalog/650C42AF-B720-41DA-BDB8-F6CEA69CE792. </w:t>
      </w:r>
      <w:r w:rsidRPr="00FF0A75">
        <w:rPr>
          <w:highlight w:val="yellow"/>
        </w:rPr>
        <w:t>Accessed 1 Nov 2024</w:t>
      </w:r>
      <w:r w:rsidRPr="00FF0A75">
        <w:t>.</w:t>
      </w:r>
    </w:p>
    <w:p w14:paraId="4A9C703B" w14:textId="77777777" w:rsidR="00FF0A75" w:rsidRDefault="00FF0A75" w:rsidP="00A27770"/>
    <w:p w14:paraId="30064A47" w14:textId="77777777" w:rsidR="005D3194" w:rsidRDefault="005D3194" w:rsidP="00A27770"/>
    <w:p w14:paraId="7C49B87D" w14:textId="77777777" w:rsidR="005D3194" w:rsidRDefault="005D3194" w:rsidP="00A27770"/>
    <w:p w14:paraId="76773C28" w14:textId="77777777" w:rsidR="005D3194" w:rsidRDefault="005D3194" w:rsidP="00A27770"/>
    <w:p w14:paraId="129BF563" w14:textId="77777777" w:rsidR="005D3194" w:rsidRDefault="005D3194" w:rsidP="00A27770"/>
    <w:p w14:paraId="1849E5E3" w14:textId="77777777" w:rsidR="005D3194" w:rsidRDefault="005D3194" w:rsidP="00A27770"/>
    <w:p w14:paraId="659A1506" w14:textId="77777777" w:rsidR="005D3194" w:rsidRDefault="005D3194" w:rsidP="00A27770"/>
    <w:p w14:paraId="2CF663C1" w14:textId="77777777" w:rsidR="005D3194" w:rsidRDefault="005D3194" w:rsidP="00A27770"/>
    <w:p w14:paraId="3E910987" w14:textId="77777777" w:rsidR="005D3194" w:rsidRDefault="005D3194" w:rsidP="00A27770"/>
    <w:p w14:paraId="49C423DE" w14:textId="77777777" w:rsidR="005D3194" w:rsidRDefault="005D3194" w:rsidP="00A27770"/>
    <w:p w14:paraId="2A86BE6F" w14:textId="77777777" w:rsidR="005D3194" w:rsidRDefault="005D3194" w:rsidP="00A27770"/>
    <w:p w14:paraId="7533F793" w14:textId="77777777" w:rsidR="005D3194" w:rsidRDefault="005D3194" w:rsidP="00A27770"/>
    <w:p w14:paraId="53550568" w14:textId="77777777" w:rsidR="005D3194" w:rsidRDefault="005D3194" w:rsidP="00A27770"/>
    <w:p w14:paraId="1AEBFF5C" w14:textId="77777777" w:rsidR="005D3194" w:rsidRDefault="005D3194" w:rsidP="00A27770"/>
    <w:p w14:paraId="016E501C" w14:textId="77777777" w:rsidR="005D3194" w:rsidRDefault="005D3194" w:rsidP="00A27770"/>
    <w:p w14:paraId="342A2503" w14:textId="77777777" w:rsidR="005D3194" w:rsidRDefault="005D3194" w:rsidP="00A27770"/>
    <w:p w14:paraId="13E7B540" w14:textId="77777777" w:rsidR="005D3194" w:rsidRDefault="005D3194" w:rsidP="00A27770"/>
    <w:p w14:paraId="7EDFA3D3" w14:textId="77777777" w:rsidR="005D3194" w:rsidRDefault="005D3194" w:rsidP="00A27770"/>
    <w:p w14:paraId="6DE7D9C5" w14:textId="77777777" w:rsidR="005D3194" w:rsidRDefault="005D3194" w:rsidP="00A27770"/>
    <w:p w14:paraId="269BE91C" w14:textId="77777777" w:rsidR="005D3194" w:rsidRDefault="005D3194" w:rsidP="00A27770"/>
    <w:p w14:paraId="39C91986" w14:textId="77777777" w:rsidR="005D3194" w:rsidRDefault="005D3194" w:rsidP="00A27770"/>
    <w:p w14:paraId="53833C7E" w14:textId="4C177508" w:rsidR="005D3194" w:rsidRDefault="005D3194" w:rsidP="00A27770">
      <w:r>
        <w:t>Things I need done:</w:t>
      </w:r>
    </w:p>
    <w:p w14:paraId="5FCC2A93" w14:textId="5874AFA6" w:rsidR="005D3194" w:rsidRPr="00AD6FA3" w:rsidRDefault="005D3194" w:rsidP="005D3194">
      <w:pPr>
        <w:pStyle w:val="ListParagraph"/>
        <w:numPr>
          <w:ilvl w:val="0"/>
          <w:numId w:val="17"/>
        </w:numPr>
      </w:pPr>
      <w:r>
        <w:t>Citation for justifying the use of EVI instead of julian day in detection model</w:t>
      </w:r>
    </w:p>
    <w:sectPr w:rsidR="005D3194" w:rsidRPr="00AD6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399"/>
    <w:multiLevelType w:val="hybridMultilevel"/>
    <w:tmpl w:val="FBFA5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70F9B"/>
    <w:multiLevelType w:val="hybridMultilevel"/>
    <w:tmpl w:val="CDA6E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D3208"/>
    <w:multiLevelType w:val="hybridMultilevel"/>
    <w:tmpl w:val="2202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94E61"/>
    <w:multiLevelType w:val="hybridMultilevel"/>
    <w:tmpl w:val="67AE1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5E498A"/>
    <w:multiLevelType w:val="hybridMultilevel"/>
    <w:tmpl w:val="F2B49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B5DA7"/>
    <w:multiLevelType w:val="hybridMultilevel"/>
    <w:tmpl w:val="2BE43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652CE"/>
    <w:multiLevelType w:val="hybridMultilevel"/>
    <w:tmpl w:val="F4A0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130A5"/>
    <w:multiLevelType w:val="hybridMultilevel"/>
    <w:tmpl w:val="B088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72218"/>
    <w:multiLevelType w:val="hybridMultilevel"/>
    <w:tmpl w:val="6864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0827D6"/>
    <w:multiLevelType w:val="hybridMultilevel"/>
    <w:tmpl w:val="05E22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4378C7"/>
    <w:multiLevelType w:val="hybridMultilevel"/>
    <w:tmpl w:val="948AD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705718"/>
    <w:multiLevelType w:val="hybridMultilevel"/>
    <w:tmpl w:val="E714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F16DA"/>
    <w:multiLevelType w:val="hybridMultilevel"/>
    <w:tmpl w:val="9D14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1B3995"/>
    <w:multiLevelType w:val="hybridMultilevel"/>
    <w:tmpl w:val="972E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170B02"/>
    <w:multiLevelType w:val="hybridMultilevel"/>
    <w:tmpl w:val="EAAA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2413CD"/>
    <w:multiLevelType w:val="hybridMultilevel"/>
    <w:tmpl w:val="7E7E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DB45A3"/>
    <w:multiLevelType w:val="hybridMultilevel"/>
    <w:tmpl w:val="6C9C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203B2C"/>
    <w:multiLevelType w:val="hybridMultilevel"/>
    <w:tmpl w:val="9FA2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7455938">
    <w:abstractNumId w:val="6"/>
  </w:num>
  <w:num w:numId="2" w16cid:durableId="933634209">
    <w:abstractNumId w:val="17"/>
  </w:num>
  <w:num w:numId="3" w16cid:durableId="1802380340">
    <w:abstractNumId w:val="7"/>
  </w:num>
  <w:num w:numId="4" w16cid:durableId="1403674569">
    <w:abstractNumId w:val="15"/>
  </w:num>
  <w:num w:numId="5" w16cid:durableId="1929190189">
    <w:abstractNumId w:val="13"/>
  </w:num>
  <w:num w:numId="6" w16cid:durableId="757481226">
    <w:abstractNumId w:val="5"/>
  </w:num>
  <w:num w:numId="7" w16cid:durableId="1814785551">
    <w:abstractNumId w:val="0"/>
  </w:num>
  <w:num w:numId="8" w16cid:durableId="1465465113">
    <w:abstractNumId w:val="8"/>
  </w:num>
  <w:num w:numId="9" w16cid:durableId="539318518">
    <w:abstractNumId w:val="3"/>
  </w:num>
  <w:num w:numId="10" w16cid:durableId="462428331">
    <w:abstractNumId w:val="2"/>
  </w:num>
  <w:num w:numId="11" w16cid:durableId="1655599845">
    <w:abstractNumId w:val="4"/>
  </w:num>
  <w:num w:numId="12" w16cid:durableId="767850549">
    <w:abstractNumId w:val="14"/>
  </w:num>
  <w:num w:numId="13" w16cid:durableId="533350984">
    <w:abstractNumId w:val="16"/>
  </w:num>
  <w:num w:numId="14" w16cid:durableId="1964995639">
    <w:abstractNumId w:val="9"/>
  </w:num>
  <w:num w:numId="15" w16cid:durableId="1622103841">
    <w:abstractNumId w:val="12"/>
  </w:num>
  <w:num w:numId="16" w16cid:durableId="226762787">
    <w:abstractNumId w:val="1"/>
  </w:num>
  <w:num w:numId="17" w16cid:durableId="812211794">
    <w:abstractNumId w:val="10"/>
  </w:num>
  <w:num w:numId="18" w16cid:durableId="695154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35D"/>
    <w:rsid w:val="00063710"/>
    <w:rsid w:val="00067A63"/>
    <w:rsid w:val="00080F23"/>
    <w:rsid w:val="00092ADE"/>
    <w:rsid w:val="00101259"/>
    <w:rsid w:val="00134EF9"/>
    <w:rsid w:val="001823B6"/>
    <w:rsid w:val="001A3247"/>
    <w:rsid w:val="001F0C38"/>
    <w:rsid w:val="0023703F"/>
    <w:rsid w:val="002A1F20"/>
    <w:rsid w:val="002C410F"/>
    <w:rsid w:val="002E0824"/>
    <w:rsid w:val="0030663D"/>
    <w:rsid w:val="003205AD"/>
    <w:rsid w:val="00373FD7"/>
    <w:rsid w:val="00383B52"/>
    <w:rsid w:val="003B454F"/>
    <w:rsid w:val="003C1881"/>
    <w:rsid w:val="003D0A43"/>
    <w:rsid w:val="004217EE"/>
    <w:rsid w:val="00432623"/>
    <w:rsid w:val="00451B33"/>
    <w:rsid w:val="00475712"/>
    <w:rsid w:val="00494216"/>
    <w:rsid w:val="004F7615"/>
    <w:rsid w:val="00544EAF"/>
    <w:rsid w:val="005B427B"/>
    <w:rsid w:val="005B63C4"/>
    <w:rsid w:val="005D3194"/>
    <w:rsid w:val="005F220C"/>
    <w:rsid w:val="00622CC2"/>
    <w:rsid w:val="00646EA5"/>
    <w:rsid w:val="0065235A"/>
    <w:rsid w:val="006F5AF5"/>
    <w:rsid w:val="00707BDD"/>
    <w:rsid w:val="007427F6"/>
    <w:rsid w:val="00754EEE"/>
    <w:rsid w:val="0078311A"/>
    <w:rsid w:val="00784A04"/>
    <w:rsid w:val="007A47EA"/>
    <w:rsid w:val="007A4CFE"/>
    <w:rsid w:val="007F7BB8"/>
    <w:rsid w:val="008D06A1"/>
    <w:rsid w:val="008F4BFB"/>
    <w:rsid w:val="00945FA4"/>
    <w:rsid w:val="00967502"/>
    <w:rsid w:val="009A4033"/>
    <w:rsid w:val="009E1333"/>
    <w:rsid w:val="009E78D7"/>
    <w:rsid w:val="00A03F90"/>
    <w:rsid w:val="00A27770"/>
    <w:rsid w:val="00A412C0"/>
    <w:rsid w:val="00A62748"/>
    <w:rsid w:val="00AD6E44"/>
    <w:rsid w:val="00AD6FA3"/>
    <w:rsid w:val="00AF447A"/>
    <w:rsid w:val="00B322D6"/>
    <w:rsid w:val="00B32DE9"/>
    <w:rsid w:val="00B65EED"/>
    <w:rsid w:val="00BD6F89"/>
    <w:rsid w:val="00C473DC"/>
    <w:rsid w:val="00C65C9A"/>
    <w:rsid w:val="00CD135D"/>
    <w:rsid w:val="00CE5788"/>
    <w:rsid w:val="00D15B3A"/>
    <w:rsid w:val="00D15D57"/>
    <w:rsid w:val="00D16268"/>
    <w:rsid w:val="00DC0325"/>
    <w:rsid w:val="00DD4F9A"/>
    <w:rsid w:val="00DE72B6"/>
    <w:rsid w:val="00EB5504"/>
    <w:rsid w:val="00EC667D"/>
    <w:rsid w:val="00F05234"/>
    <w:rsid w:val="00F33A0A"/>
    <w:rsid w:val="00F4352A"/>
    <w:rsid w:val="00F539AC"/>
    <w:rsid w:val="00FB1A90"/>
    <w:rsid w:val="00FF0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4F03"/>
  <w15:chartTrackingRefBased/>
  <w15:docId w15:val="{FAAC17B0-1CB0-4BC8-8393-B85518455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35D"/>
    <w:rPr>
      <w:rFonts w:eastAsiaTheme="majorEastAsia" w:cstheme="majorBidi"/>
      <w:color w:val="272727" w:themeColor="text1" w:themeTint="D8"/>
    </w:rPr>
  </w:style>
  <w:style w:type="paragraph" w:styleId="Title">
    <w:name w:val="Title"/>
    <w:basedOn w:val="Normal"/>
    <w:next w:val="Normal"/>
    <w:link w:val="TitleChar"/>
    <w:uiPriority w:val="10"/>
    <w:qFormat/>
    <w:rsid w:val="00CD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35D"/>
    <w:pPr>
      <w:spacing w:before="160"/>
      <w:jc w:val="center"/>
    </w:pPr>
    <w:rPr>
      <w:i/>
      <w:iCs/>
      <w:color w:val="404040" w:themeColor="text1" w:themeTint="BF"/>
    </w:rPr>
  </w:style>
  <w:style w:type="character" w:customStyle="1" w:styleId="QuoteChar">
    <w:name w:val="Quote Char"/>
    <w:basedOn w:val="DefaultParagraphFont"/>
    <w:link w:val="Quote"/>
    <w:uiPriority w:val="29"/>
    <w:rsid w:val="00CD135D"/>
    <w:rPr>
      <w:i/>
      <w:iCs/>
      <w:color w:val="404040" w:themeColor="text1" w:themeTint="BF"/>
    </w:rPr>
  </w:style>
  <w:style w:type="paragraph" w:styleId="ListParagraph">
    <w:name w:val="List Paragraph"/>
    <w:basedOn w:val="Normal"/>
    <w:uiPriority w:val="34"/>
    <w:qFormat/>
    <w:rsid w:val="00CD135D"/>
    <w:pPr>
      <w:ind w:left="720"/>
      <w:contextualSpacing/>
    </w:pPr>
  </w:style>
  <w:style w:type="character" w:styleId="IntenseEmphasis">
    <w:name w:val="Intense Emphasis"/>
    <w:basedOn w:val="DefaultParagraphFont"/>
    <w:uiPriority w:val="21"/>
    <w:qFormat/>
    <w:rsid w:val="00CD135D"/>
    <w:rPr>
      <w:i/>
      <w:iCs/>
      <w:color w:val="0F4761" w:themeColor="accent1" w:themeShade="BF"/>
    </w:rPr>
  </w:style>
  <w:style w:type="paragraph" w:styleId="IntenseQuote">
    <w:name w:val="Intense Quote"/>
    <w:basedOn w:val="Normal"/>
    <w:next w:val="Normal"/>
    <w:link w:val="IntenseQuoteChar"/>
    <w:uiPriority w:val="30"/>
    <w:qFormat/>
    <w:rsid w:val="00CD1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35D"/>
    <w:rPr>
      <w:i/>
      <w:iCs/>
      <w:color w:val="0F4761" w:themeColor="accent1" w:themeShade="BF"/>
    </w:rPr>
  </w:style>
  <w:style w:type="character" w:styleId="IntenseReference">
    <w:name w:val="Intense Reference"/>
    <w:basedOn w:val="DefaultParagraphFont"/>
    <w:uiPriority w:val="32"/>
    <w:qFormat/>
    <w:rsid w:val="00CD135D"/>
    <w:rPr>
      <w:b/>
      <w:bCs/>
      <w:smallCaps/>
      <w:color w:val="0F4761" w:themeColor="accent1" w:themeShade="BF"/>
      <w:spacing w:val="5"/>
    </w:rPr>
  </w:style>
  <w:style w:type="character" w:styleId="PlaceholderText">
    <w:name w:val="Placeholder Text"/>
    <w:basedOn w:val="DefaultParagraphFont"/>
    <w:uiPriority w:val="99"/>
    <w:semiHidden/>
    <w:rsid w:val="00D16268"/>
    <w:rPr>
      <w:color w:val="666666"/>
    </w:rPr>
  </w:style>
  <w:style w:type="character" w:styleId="Hyperlink">
    <w:name w:val="Hyperlink"/>
    <w:basedOn w:val="DefaultParagraphFont"/>
    <w:uiPriority w:val="99"/>
    <w:unhideWhenUsed/>
    <w:rsid w:val="00FF0A75"/>
    <w:rPr>
      <w:color w:val="467886" w:themeColor="hyperlink"/>
      <w:u w:val="single"/>
    </w:rPr>
  </w:style>
  <w:style w:type="character" w:styleId="UnresolvedMention">
    <w:name w:val="Unresolved Mention"/>
    <w:basedOn w:val="DefaultParagraphFont"/>
    <w:uiPriority w:val="99"/>
    <w:semiHidden/>
    <w:unhideWhenUsed/>
    <w:rsid w:val="00FF0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1143">
      <w:bodyDiv w:val="1"/>
      <w:marLeft w:val="0"/>
      <w:marRight w:val="0"/>
      <w:marTop w:val="0"/>
      <w:marBottom w:val="0"/>
      <w:divBdr>
        <w:top w:val="none" w:sz="0" w:space="0" w:color="auto"/>
        <w:left w:val="none" w:sz="0" w:space="0" w:color="auto"/>
        <w:bottom w:val="none" w:sz="0" w:space="0" w:color="auto"/>
        <w:right w:val="none" w:sz="0" w:space="0" w:color="auto"/>
      </w:divBdr>
    </w:div>
    <w:div w:id="129399528">
      <w:bodyDiv w:val="1"/>
      <w:marLeft w:val="0"/>
      <w:marRight w:val="0"/>
      <w:marTop w:val="0"/>
      <w:marBottom w:val="0"/>
      <w:divBdr>
        <w:top w:val="none" w:sz="0" w:space="0" w:color="auto"/>
        <w:left w:val="none" w:sz="0" w:space="0" w:color="auto"/>
        <w:bottom w:val="none" w:sz="0" w:space="0" w:color="auto"/>
        <w:right w:val="none" w:sz="0" w:space="0" w:color="auto"/>
      </w:divBdr>
      <w:divsChild>
        <w:div w:id="920483141">
          <w:marLeft w:val="480"/>
          <w:marRight w:val="0"/>
          <w:marTop w:val="0"/>
          <w:marBottom w:val="0"/>
          <w:divBdr>
            <w:top w:val="none" w:sz="0" w:space="0" w:color="auto"/>
            <w:left w:val="none" w:sz="0" w:space="0" w:color="auto"/>
            <w:bottom w:val="none" w:sz="0" w:space="0" w:color="auto"/>
            <w:right w:val="none" w:sz="0" w:space="0" w:color="auto"/>
          </w:divBdr>
          <w:divsChild>
            <w:div w:id="9241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1867">
      <w:bodyDiv w:val="1"/>
      <w:marLeft w:val="0"/>
      <w:marRight w:val="0"/>
      <w:marTop w:val="0"/>
      <w:marBottom w:val="0"/>
      <w:divBdr>
        <w:top w:val="none" w:sz="0" w:space="0" w:color="auto"/>
        <w:left w:val="none" w:sz="0" w:space="0" w:color="auto"/>
        <w:bottom w:val="none" w:sz="0" w:space="0" w:color="auto"/>
        <w:right w:val="none" w:sz="0" w:space="0" w:color="auto"/>
      </w:divBdr>
    </w:div>
    <w:div w:id="296566736">
      <w:bodyDiv w:val="1"/>
      <w:marLeft w:val="0"/>
      <w:marRight w:val="0"/>
      <w:marTop w:val="0"/>
      <w:marBottom w:val="0"/>
      <w:divBdr>
        <w:top w:val="none" w:sz="0" w:space="0" w:color="auto"/>
        <w:left w:val="none" w:sz="0" w:space="0" w:color="auto"/>
        <w:bottom w:val="none" w:sz="0" w:space="0" w:color="auto"/>
        <w:right w:val="none" w:sz="0" w:space="0" w:color="auto"/>
      </w:divBdr>
    </w:div>
    <w:div w:id="661663676">
      <w:bodyDiv w:val="1"/>
      <w:marLeft w:val="0"/>
      <w:marRight w:val="0"/>
      <w:marTop w:val="0"/>
      <w:marBottom w:val="0"/>
      <w:divBdr>
        <w:top w:val="none" w:sz="0" w:space="0" w:color="auto"/>
        <w:left w:val="none" w:sz="0" w:space="0" w:color="auto"/>
        <w:bottom w:val="none" w:sz="0" w:space="0" w:color="auto"/>
        <w:right w:val="none" w:sz="0" w:space="0" w:color="auto"/>
      </w:divBdr>
    </w:div>
    <w:div w:id="671840590">
      <w:bodyDiv w:val="1"/>
      <w:marLeft w:val="0"/>
      <w:marRight w:val="0"/>
      <w:marTop w:val="0"/>
      <w:marBottom w:val="0"/>
      <w:divBdr>
        <w:top w:val="none" w:sz="0" w:space="0" w:color="auto"/>
        <w:left w:val="none" w:sz="0" w:space="0" w:color="auto"/>
        <w:bottom w:val="none" w:sz="0" w:space="0" w:color="auto"/>
        <w:right w:val="none" w:sz="0" w:space="0" w:color="auto"/>
      </w:divBdr>
      <w:divsChild>
        <w:div w:id="1716927149">
          <w:marLeft w:val="480"/>
          <w:marRight w:val="0"/>
          <w:marTop w:val="0"/>
          <w:marBottom w:val="0"/>
          <w:divBdr>
            <w:top w:val="none" w:sz="0" w:space="0" w:color="auto"/>
            <w:left w:val="none" w:sz="0" w:space="0" w:color="auto"/>
            <w:bottom w:val="none" w:sz="0" w:space="0" w:color="auto"/>
            <w:right w:val="none" w:sz="0" w:space="0" w:color="auto"/>
          </w:divBdr>
          <w:divsChild>
            <w:div w:id="14058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70057">
      <w:bodyDiv w:val="1"/>
      <w:marLeft w:val="0"/>
      <w:marRight w:val="0"/>
      <w:marTop w:val="0"/>
      <w:marBottom w:val="0"/>
      <w:divBdr>
        <w:top w:val="none" w:sz="0" w:space="0" w:color="auto"/>
        <w:left w:val="none" w:sz="0" w:space="0" w:color="auto"/>
        <w:bottom w:val="none" w:sz="0" w:space="0" w:color="auto"/>
        <w:right w:val="none" w:sz="0" w:space="0" w:color="auto"/>
      </w:divBdr>
      <w:divsChild>
        <w:div w:id="2011641948">
          <w:marLeft w:val="480"/>
          <w:marRight w:val="0"/>
          <w:marTop w:val="0"/>
          <w:marBottom w:val="0"/>
          <w:divBdr>
            <w:top w:val="none" w:sz="0" w:space="0" w:color="auto"/>
            <w:left w:val="none" w:sz="0" w:space="0" w:color="auto"/>
            <w:bottom w:val="none" w:sz="0" w:space="0" w:color="auto"/>
            <w:right w:val="none" w:sz="0" w:space="0" w:color="auto"/>
          </w:divBdr>
          <w:divsChild>
            <w:div w:id="1058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00769">
      <w:bodyDiv w:val="1"/>
      <w:marLeft w:val="0"/>
      <w:marRight w:val="0"/>
      <w:marTop w:val="0"/>
      <w:marBottom w:val="0"/>
      <w:divBdr>
        <w:top w:val="none" w:sz="0" w:space="0" w:color="auto"/>
        <w:left w:val="none" w:sz="0" w:space="0" w:color="auto"/>
        <w:bottom w:val="none" w:sz="0" w:space="0" w:color="auto"/>
        <w:right w:val="none" w:sz="0" w:space="0" w:color="auto"/>
      </w:divBdr>
      <w:divsChild>
        <w:div w:id="1456100920">
          <w:marLeft w:val="480"/>
          <w:marRight w:val="0"/>
          <w:marTop w:val="0"/>
          <w:marBottom w:val="0"/>
          <w:divBdr>
            <w:top w:val="none" w:sz="0" w:space="0" w:color="auto"/>
            <w:left w:val="none" w:sz="0" w:space="0" w:color="auto"/>
            <w:bottom w:val="none" w:sz="0" w:space="0" w:color="auto"/>
            <w:right w:val="none" w:sz="0" w:space="0" w:color="auto"/>
          </w:divBdr>
          <w:divsChild>
            <w:div w:id="141304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2344">
      <w:bodyDiv w:val="1"/>
      <w:marLeft w:val="0"/>
      <w:marRight w:val="0"/>
      <w:marTop w:val="0"/>
      <w:marBottom w:val="0"/>
      <w:divBdr>
        <w:top w:val="none" w:sz="0" w:space="0" w:color="auto"/>
        <w:left w:val="none" w:sz="0" w:space="0" w:color="auto"/>
        <w:bottom w:val="none" w:sz="0" w:space="0" w:color="auto"/>
        <w:right w:val="none" w:sz="0" w:space="0" w:color="auto"/>
      </w:divBdr>
      <w:divsChild>
        <w:div w:id="1869642796">
          <w:marLeft w:val="480"/>
          <w:marRight w:val="0"/>
          <w:marTop w:val="0"/>
          <w:marBottom w:val="0"/>
          <w:divBdr>
            <w:top w:val="none" w:sz="0" w:space="0" w:color="auto"/>
            <w:left w:val="none" w:sz="0" w:space="0" w:color="auto"/>
            <w:bottom w:val="none" w:sz="0" w:space="0" w:color="auto"/>
            <w:right w:val="none" w:sz="0" w:space="0" w:color="auto"/>
          </w:divBdr>
          <w:divsChild>
            <w:div w:id="212815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5800">
      <w:bodyDiv w:val="1"/>
      <w:marLeft w:val="0"/>
      <w:marRight w:val="0"/>
      <w:marTop w:val="0"/>
      <w:marBottom w:val="0"/>
      <w:divBdr>
        <w:top w:val="none" w:sz="0" w:space="0" w:color="auto"/>
        <w:left w:val="none" w:sz="0" w:space="0" w:color="auto"/>
        <w:bottom w:val="none" w:sz="0" w:space="0" w:color="auto"/>
        <w:right w:val="none" w:sz="0" w:space="0" w:color="auto"/>
      </w:divBdr>
      <w:divsChild>
        <w:div w:id="1808663638">
          <w:marLeft w:val="480"/>
          <w:marRight w:val="0"/>
          <w:marTop w:val="0"/>
          <w:marBottom w:val="0"/>
          <w:divBdr>
            <w:top w:val="none" w:sz="0" w:space="0" w:color="auto"/>
            <w:left w:val="none" w:sz="0" w:space="0" w:color="auto"/>
            <w:bottom w:val="none" w:sz="0" w:space="0" w:color="auto"/>
            <w:right w:val="none" w:sz="0" w:space="0" w:color="auto"/>
          </w:divBdr>
          <w:divsChild>
            <w:div w:id="11911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3258">
      <w:bodyDiv w:val="1"/>
      <w:marLeft w:val="0"/>
      <w:marRight w:val="0"/>
      <w:marTop w:val="0"/>
      <w:marBottom w:val="0"/>
      <w:divBdr>
        <w:top w:val="none" w:sz="0" w:space="0" w:color="auto"/>
        <w:left w:val="none" w:sz="0" w:space="0" w:color="auto"/>
        <w:bottom w:val="none" w:sz="0" w:space="0" w:color="auto"/>
        <w:right w:val="none" w:sz="0" w:space="0" w:color="auto"/>
      </w:divBdr>
      <w:divsChild>
        <w:div w:id="207298931">
          <w:marLeft w:val="480"/>
          <w:marRight w:val="0"/>
          <w:marTop w:val="0"/>
          <w:marBottom w:val="0"/>
          <w:divBdr>
            <w:top w:val="none" w:sz="0" w:space="0" w:color="auto"/>
            <w:left w:val="none" w:sz="0" w:space="0" w:color="auto"/>
            <w:bottom w:val="none" w:sz="0" w:space="0" w:color="auto"/>
            <w:right w:val="none" w:sz="0" w:space="0" w:color="auto"/>
          </w:divBdr>
          <w:divsChild>
            <w:div w:id="20615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6438">
      <w:bodyDiv w:val="1"/>
      <w:marLeft w:val="0"/>
      <w:marRight w:val="0"/>
      <w:marTop w:val="0"/>
      <w:marBottom w:val="0"/>
      <w:divBdr>
        <w:top w:val="none" w:sz="0" w:space="0" w:color="auto"/>
        <w:left w:val="none" w:sz="0" w:space="0" w:color="auto"/>
        <w:bottom w:val="none" w:sz="0" w:space="0" w:color="auto"/>
        <w:right w:val="none" w:sz="0" w:space="0" w:color="auto"/>
      </w:divBdr>
      <w:divsChild>
        <w:div w:id="214204258">
          <w:marLeft w:val="480"/>
          <w:marRight w:val="0"/>
          <w:marTop w:val="0"/>
          <w:marBottom w:val="0"/>
          <w:divBdr>
            <w:top w:val="none" w:sz="0" w:space="0" w:color="auto"/>
            <w:left w:val="none" w:sz="0" w:space="0" w:color="auto"/>
            <w:bottom w:val="none" w:sz="0" w:space="0" w:color="auto"/>
            <w:right w:val="none" w:sz="0" w:space="0" w:color="auto"/>
          </w:divBdr>
          <w:divsChild>
            <w:div w:id="3261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plandcros.scinet.usda.gov/" TargetMode="External"/><Relationship Id="rId3" Type="http://schemas.openxmlformats.org/officeDocument/2006/relationships/settings" Target="settings.xml"/><Relationship Id="rId7" Type="http://schemas.openxmlformats.org/officeDocument/2006/relationships/hyperlink" Target="https://www.landfire.gov/vie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an.r-project.org/package=rlandfire" TargetMode="External"/><Relationship Id="rId5" Type="http://schemas.openxmlformats.org/officeDocument/2006/relationships/hyperlink" Target="https://doi.org/10.6084/m9.figshare.2220325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23872</TotalTime>
  <Pages>14</Pages>
  <Words>4339</Words>
  <Characters>24735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Wildey, Eli F - DNR</dc:creator>
  <cp:keywords/>
  <dc:description/>
  <cp:lastModifiedBy>Wildey, Eli F - DNR</cp:lastModifiedBy>
  <cp:revision>18</cp:revision>
  <dcterms:created xsi:type="dcterms:W3CDTF">2026-01-15T20:04:00Z</dcterms:created>
  <dcterms:modified xsi:type="dcterms:W3CDTF">2026-04-16T21:39:00Z</dcterms:modified>
</cp:coreProperties>
</file>