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A491"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 xml:space="preserve">Movement </w:t>
      </w:r>
      <w:r>
        <w:rPr>
          <w:rFonts w:eastAsia="Times New Roman"/>
          <w:b/>
          <w:bCs/>
          <w:color w:val="000000"/>
        </w:rPr>
        <w:t>r</w:t>
      </w:r>
      <w:r w:rsidRPr="00193A49">
        <w:rPr>
          <w:rFonts w:eastAsia="Times New Roman"/>
          <w:b/>
          <w:bCs/>
          <w:color w:val="000000"/>
        </w:rPr>
        <w:t xml:space="preserve">ate </w:t>
      </w:r>
      <w:r>
        <w:rPr>
          <w:rFonts w:eastAsia="Times New Roman"/>
          <w:b/>
          <w:bCs/>
          <w:color w:val="000000"/>
        </w:rPr>
        <w:t>r</w:t>
      </w:r>
      <w:r w:rsidRPr="00193A49">
        <w:rPr>
          <w:rFonts w:eastAsia="Times New Roman"/>
          <w:b/>
          <w:bCs/>
          <w:color w:val="000000"/>
        </w:rPr>
        <w:t>egression</w:t>
      </w:r>
    </w:p>
    <w:p w14:paraId="79F11CE6"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day in response to human activity and also showing increases in movement rate during the night in response to human activity. Meanwhile we see a decrease in deer movement in response to human activity during the day (Figure 7).</w:t>
      </w:r>
    </w:p>
    <w:p w14:paraId="4CB55F8B" w14:textId="651F2C93" w:rsidR="00B14062" w:rsidRDefault="00B14062" w:rsidP="00B77375">
      <w:pPr>
        <w:spacing w:after="160" w:line="480" w:lineRule="auto"/>
        <w:ind w:right="-540"/>
        <w:rPr>
          <w:rFonts w:eastAsia="Times New Roman"/>
          <w:color w:val="000000"/>
        </w:rPr>
      </w:pPr>
      <w:r>
        <w:rPr>
          <w:rFonts w:eastAsia="Times New Roman"/>
          <w:i/>
          <w:iCs/>
          <w:noProof/>
          <w:color w:val="000000"/>
        </w:rPr>
        <w:drawing>
          <wp:inline distT="0" distB="0" distL="0" distR="0" wp14:anchorId="77FDFA16" wp14:editId="65701367">
            <wp:extent cx="5029902" cy="3600953"/>
            <wp:effectExtent l="0" t="0" r="0" b="0"/>
            <wp:docPr id="262755065" name="Picture 11"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5065" name="Picture 11" descr="A graph with black lines and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29902" cy="3600953"/>
                    </a:xfrm>
                    <a:prstGeom prst="rect">
                      <a:avLst/>
                    </a:prstGeom>
                  </pic:spPr>
                </pic:pic>
              </a:graphicData>
            </a:graphic>
          </wp:inline>
        </w:drawing>
      </w:r>
    </w:p>
    <w:p w14:paraId="31EE95AC" w14:textId="77777777" w:rsidR="00B77375" w:rsidRPr="002505DE" w:rsidRDefault="00B77375" w:rsidP="00B77375">
      <w:pPr>
        <w:spacing w:after="160" w:line="480" w:lineRule="auto"/>
        <w:ind w:right="-540"/>
        <w:jc w:val="center"/>
        <w:rPr>
          <w:rFonts w:eastAsia="Times New Roman"/>
        </w:rPr>
      </w:pPr>
      <w:r>
        <w:rPr>
          <w:rFonts w:eastAsia="Times New Roman"/>
          <w:noProof/>
        </w:rPr>
        <w:lastRenderedPageBreak/>
        <w:drawing>
          <wp:inline distT="0" distB="0" distL="0" distR="0" wp14:anchorId="3524769F" wp14:editId="52E7822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3A98CEAC"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Overall deer density estimates on the study area dependent on camera viewshed estimates were 4.21 deer/km² for a viewshed area of 45m², 3.42 deer/km² for a viewshed area of 65m² and 2.87 deer/km² for a viewshed area of 80m² (Figure 8). As parameters estimates for camera viewshed area increased, density estimates for mule deer decreased. </w:t>
      </w:r>
    </w:p>
    <w:p w14:paraId="133D7EB8"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169D79EF" wp14:editId="325B86CA">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39331157"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lastRenderedPageBreak/>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772D0ECB"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7C4EB95D" wp14:editId="732A17A6">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620BC957" w14:textId="5C409FC6" w:rsidR="00B77375" w:rsidRDefault="00B77375">
      <w:pPr>
        <w:rPr>
          <w:rFonts w:eastAsia="Times New Roman"/>
          <w:color w:val="000000"/>
        </w:rPr>
      </w:pPr>
      <w:r w:rsidRPr="002505DE">
        <w:rPr>
          <w:rFonts w:eastAsia="Times New Roman"/>
          <w:color w:val="000000"/>
        </w:rPr>
        <w:t xml:space="preserve">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(Noonan et al. 2019). With density estimates decreasing with movement speed, we suspect, if anything, a positive bias in density (Loonam et al. 2021</w:t>
      </w:r>
      <w:r>
        <w:rPr>
          <w:rFonts w:eastAsia="Times New Roman"/>
          <w:color w:val="000000"/>
        </w:rPr>
        <w:t>a</w:t>
      </w:r>
      <w:r w:rsidRPr="002505DE">
        <w:rPr>
          <w:rFonts w:eastAsia="Times New Roman"/>
          <w:color w:val="000000"/>
        </w:rPr>
        <w:t>, Santini et al. 2022).</w:t>
      </w:r>
    </w:p>
    <w:p w14:paraId="39D7F7F8" w14:textId="2D50BABD" w:rsidR="00B77375" w:rsidRDefault="00B77375">
      <w:pPr>
        <w:rPr>
          <w:rFonts w:eastAsia="Times New Roman"/>
          <w:color w:val="000000"/>
        </w:rPr>
      </w:pPr>
      <w:r w:rsidRPr="002505DE">
        <w:rPr>
          <w:rFonts w:eastAsia="Times New Roman"/>
          <w:color w:val="000000"/>
        </w:rPr>
        <w:t>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(Moeller et al. 2018</w:t>
      </w:r>
      <w:r>
        <w:rPr>
          <w:rFonts w:eastAsia="Times New Roman"/>
          <w:color w:val="000000"/>
        </w:rPr>
        <w:t xml:space="preserve">, </w:t>
      </w:r>
      <w:r w:rsidRPr="002505DE">
        <w:rPr>
          <w:rFonts w:eastAsia="Times New Roman"/>
          <w:color w:val="000000"/>
        </w:rPr>
        <w:t>Loonam et al. 2021</w:t>
      </w:r>
      <w:r>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2A4351C7" w14:textId="73A50DAA" w:rsidR="00B77375" w:rsidRDefault="00B77375">
      <w:pPr>
        <w:rPr>
          <w:rFonts w:eastAsia="Times New Roman"/>
          <w:color w:val="000000"/>
        </w:rPr>
      </w:pPr>
      <w:r w:rsidRPr="002505DE">
        <w:rPr>
          <w:rFonts w:eastAsia="Times New Roman"/>
          <w:color w:val="000000"/>
        </w:rPr>
        <w:t xml:space="preserve">Density of mule deer on our study area was estimated using time to event modeling resulting in estimates of 1.8-13 deer/km² depending on different estimates of camera viewshed area and </w:t>
      </w:r>
      <w:r w:rsidRPr="002505DE">
        <w:rPr>
          <w:rFonts w:eastAsia="Times New Roman"/>
          <w:color w:val="000000"/>
        </w:rPr>
        <w:lastRenderedPageBreak/>
        <w:t>movement rates. We focused our density estimates in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comparison with other winter ranges comprised of pinyon-juniper habitat, and in line with estimates of deer densities on winter range with high intensities of energy development (Northrup et al. 2021).</w:t>
      </w:r>
    </w:p>
    <w:p w14:paraId="507A708A" w14:textId="043C2DEF" w:rsidR="00B77375" w:rsidRDefault="00B77375">
      <w:pPr>
        <w:rPr>
          <w:rFonts w:eastAsia="Times New Roman"/>
          <w:color w:val="000000"/>
        </w:rPr>
      </w:pPr>
      <w:r w:rsidRPr="002505DE">
        <w:rPr>
          <w:rFonts w:eastAsia="Times New Roman"/>
          <w:color w:val="000000"/>
        </w:rPr>
        <w:t xml:space="preserve">While our density estimate is low </w:t>
      </w:r>
      <w:r>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(Bishop et al. 2009</w:t>
      </w:r>
      <w:r>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w:t>
      </w:r>
    </w:p>
    <w:p w14:paraId="422D851D"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Density dependent impacts</w:t>
      </w:r>
    </w:p>
    <w:p w14:paraId="67587895"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efforts, and high adult survival rates, density-dependence plays a critical role in population dynamics (Bowyer et al. 2014</w:t>
      </w:r>
      <w:r>
        <w:rPr>
          <w:rFonts w:eastAsia="Times New Roman"/>
          <w:color w:val="000000"/>
        </w:rPr>
        <w:t xml:space="preserve">, </w:t>
      </w:r>
      <w:r w:rsidRPr="002505DE">
        <w:rPr>
          <w:rFonts w:eastAsia="Times New Roman"/>
          <w:color w:val="000000"/>
        </w:rPr>
        <w:t xml:space="preserve">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w:t>
      </w:r>
      <w:r w:rsidRPr="002505DE">
        <w:rPr>
          <w:rFonts w:eastAsia="Times New Roman"/>
          <w:color w:val="000000"/>
        </w:rPr>
        <w:lastRenderedPageBreak/>
        <w:t>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carrying capacity resulting in lower density populations with poor nutrition and vital rates. Measuring nutritional carrying capacity (Montieth et al. 2014) as a component in future study designs provides a pathway to answer these questions. </w:t>
      </w:r>
    </w:p>
    <w:p w14:paraId="4816DE2B"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Density dependence has also been theorized to change habitat selection (Rosenzweig 1981</w:t>
      </w:r>
      <w:r>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w:t>
      </w:r>
      <w:r w:rsidRPr="002505DE">
        <w:rPr>
          <w:rFonts w:eastAsia="Times New Roman"/>
          <w:color w:val="000000"/>
        </w:rPr>
        <w:lastRenderedPageBreak/>
        <w:t>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safety at low densities. The speculation being that human activity was providing a refugia from wolf predation allowing elk to select safe habitat with 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2DDE34EB" w14:textId="77777777" w:rsidR="008422B6" w:rsidRPr="000E7884" w:rsidRDefault="008422B6" w:rsidP="008422B6">
      <w:pPr>
        <w:spacing w:after="160" w:line="480" w:lineRule="auto"/>
        <w:ind w:right="-540"/>
        <w:rPr>
          <w:rFonts w:eastAsia="Times New Roman"/>
          <w:b/>
          <w:bCs/>
        </w:rPr>
      </w:pPr>
      <w:r w:rsidRPr="00193A49">
        <w:rPr>
          <w:rFonts w:eastAsia="Times New Roman"/>
          <w:b/>
          <w:bCs/>
          <w:color w:val="000000"/>
        </w:rPr>
        <w:t>TTE modeling</w:t>
      </w:r>
    </w:p>
    <w:p w14:paraId="40A0D6A4"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Data was sufficient to estimate densities at 21 individual cameras. Four models had a </w:t>
      </w:r>
      <w:proofErr w:type="spellStart"/>
      <w:r w:rsidRPr="002505DE">
        <w:rPr>
          <w:rFonts w:eastAsia="Times New Roman"/>
          <w:color w:val="000000"/>
        </w:rPr>
        <w:t>ΔAICc</w:t>
      </w:r>
      <w:proofErr w:type="spellEnd"/>
      <w:r w:rsidRPr="002505DE">
        <w:rPr>
          <w:rFonts w:eastAsia="Times New Roman"/>
          <w:color w:val="000000"/>
        </w:rPr>
        <w:t xml:space="preserve">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t>
      </w:r>
      <w:r>
        <w:rPr>
          <w:rFonts w:eastAsia="Times New Roman"/>
          <w:color w:val="000000"/>
        </w:rPr>
        <w:t>0.613</w:t>
      </w:r>
      <w:r w:rsidRPr="002505DE">
        <w:rPr>
          <w:rFonts w:eastAsia="Times New Roman"/>
          <w:color w:val="000000"/>
        </w:rPr>
        <w:t xml:space="preserve"> deer/km², trail density at the camera grid level had a non-significant, negative effect; relative human activity had a non-significant, negative effect and slope had a weak, non-significant, negative effect. </w:t>
      </w:r>
    </w:p>
    <w:p w14:paraId="75571F0D" w14:textId="77777777" w:rsidR="008422B6" w:rsidRDefault="008422B6" w:rsidP="008422B6">
      <w:pPr>
        <w:spacing w:line="480" w:lineRule="auto"/>
        <w:jc w:val="center"/>
        <w:rPr>
          <w:rFonts w:eastAsia="Times New Roman"/>
        </w:rPr>
      </w:pPr>
    </w:p>
    <w:p w14:paraId="2A4F2EE2" w14:textId="77777777" w:rsidR="008422B6" w:rsidRPr="002505DE" w:rsidRDefault="008422B6" w:rsidP="008422B6">
      <w:pPr>
        <w:spacing w:line="480" w:lineRule="auto"/>
        <w:jc w:val="center"/>
        <w:rPr>
          <w:rFonts w:eastAsia="Times New Roman"/>
        </w:rPr>
      </w:pPr>
      <w:r>
        <w:rPr>
          <w:rFonts w:eastAsia="Times New Roman"/>
          <w:noProof/>
        </w:rPr>
        <w:lastRenderedPageBreak/>
        <w:drawing>
          <wp:inline distT="0" distB="0" distL="0" distR="0" wp14:anchorId="3AC66300" wp14:editId="67D0DB1A">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p>
    <w:p w14:paraId="4A6B0ED7" w14:textId="77777777" w:rsidR="008422B6" w:rsidRPr="00193A49" w:rsidRDefault="008422B6" w:rsidP="008422B6">
      <w:pPr>
        <w:spacing w:after="160" w:line="480" w:lineRule="auto"/>
        <w:ind w:right="-540"/>
        <w:rPr>
          <w:rFonts w:eastAsia="Times New Roman"/>
          <w:b/>
          <w:bCs/>
        </w:rPr>
      </w:pPr>
      <w:r w:rsidRPr="00193A49">
        <w:rPr>
          <w:rFonts w:eastAsia="Times New Roman"/>
          <w:b/>
          <w:bCs/>
          <w:color w:val="000000"/>
        </w:rPr>
        <w:t xml:space="preserve">Deer </w:t>
      </w:r>
      <w:r>
        <w:rPr>
          <w:rFonts w:eastAsia="Times New Roman"/>
          <w:b/>
          <w:bCs/>
          <w:color w:val="000000"/>
        </w:rPr>
        <w:t>d</w:t>
      </w:r>
      <w:r w:rsidRPr="00193A49">
        <w:rPr>
          <w:rFonts w:eastAsia="Times New Roman"/>
          <w:b/>
          <w:bCs/>
          <w:color w:val="000000"/>
        </w:rPr>
        <w:t xml:space="preserve">ensity </w:t>
      </w:r>
      <w:r>
        <w:rPr>
          <w:rFonts w:eastAsia="Times New Roman"/>
          <w:b/>
          <w:bCs/>
          <w:color w:val="000000"/>
        </w:rPr>
        <w:t>e</w:t>
      </w:r>
      <w:r w:rsidRPr="00193A49">
        <w:rPr>
          <w:rFonts w:eastAsia="Times New Roman"/>
          <w:b/>
          <w:bCs/>
          <w:color w:val="000000"/>
        </w:rPr>
        <w:t>stimates</w:t>
      </w:r>
    </w:p>
    <w:p w14:paraId="082539EE"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w:t>
      </w:r>
      <w:r w:rsidRPr="002505DE">
        <w:rPr>
          <w:rFonts w:eastAsia="Times New Roman"/>
          <w:color w:val="000000"/>
        </w:rPr>
        <w:t xml:space="preserve"> Santini et al. 2022</w:t>
      </w:r>
      <w:r>
        <w:rPr>
          <w:rFonts w:eastAsia="Times New Roman"/>
          <w:color w:val="000000"/>
        </w:rPr>
        <w:t xml:space="preserve">, </w:t>
      </w:r>
      <w:r w:rsidRPr="002505DE">
        <w:rPr>
          <w:rFonts w:eastAsia="Times New Roman"/>
          <w:color w:val="000000"/>
        </w:rPr>
        <w:t>Moeller et al. 2023). However, previous studies found TTE models to have comparable estimates of density to more established methods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xml:space="preserve">). At the landscape level, cameras were placed systematically, and were then placed randomly within grid cells, while trails were targeted within proximity of randomized locations. Cameras were placed randomly at 2 of 3 </w:t>
      </w:r>
      <w:proofErr w:type="gramStart"/>
      <w:r w:rsidRPr="002505DE">
        <w:rPr>
          <w:rFonts w:eastAsia="Times New Roman"/>
          <w:color w:val="000000"/>
        </w:rPr>
        <w:t>scales, and</w:t>
      </w:r>
      <w:proofErr w:type="gramEnd"/>
      <w:r w:rsidRPr="002505DE">
        <w:rPr>
          <w:rFonts w:eastAsia="Times New Roman"/>
          <w:color w:val="000000"/>
        </w:rPr>
        <w:t xml:space="preserve"> followed recommendations of </w:t>
      </w:r>
      <w:r w:rsidRPr="002505DE">
        <w:rPr>
          <w:rFonts w:eastAsia="Times New Roman"/>
          <w:i/>
          <w:iCs/>
          <w:color w:val="000000"/>
        </w:rPr>
        <w:t xml:space="preserve">a priori </w:t>
      </w:r>
      <w:r w:rsidRPr="002505DE">
        <w:rPr>
          <w:rFonts w:eastAsia="Times New Roman"/>
          <w:color w:val="000000"/>
        </w:rPr>
        <w:t>rules for camera deployment (</w:t>
      </w:r>
      <w:proofErr w:type="spellStart"/>
      <w:r w:rsidRPr="002505DE">
        <w:rPr>
          <w:rFonts w:eastAsia="Times New Roman"/>
          <w:color w:val="000000"/>
        </w:rPr>
        <w:t>Loonam</w:t>
      </w:r>
      <w:proofErr w:type="spellEnd"/>
      <w:r w:rsidRPr="002505DE">
        <w:rPr>
          <w:rFonts w:eastAsia="Times New Roman"/>
          <w:color w:val="000000"/>
        </w:rPr>
        <w:t xml:space="preserve"> et al. 2021). Cameras placed randomly at microsite scales could be impractical </w:t>
      </w:r>
      <w:r w:rsidRPr="002505DE">
        <w:rPr>
          <w:rFonts w:eastAsia="Times New Roman"/>
          <w:color w:val="000000"/>
        </w:rPr>
        <w:lastRenderedPageBreak/>
        <w:t>with camera viewsheds potentially being obstructed and censored from analysis (</w:t>
      </w:r>
      <w:proofErr w:type="spellStart"/>
      <w:r w:rsidRPr="002505DE">
        <w:rPr>
          <w:rFonts w:eastAsia="Times New Roman"/>
          <w:color w:val="000000"/>
        </w:rPr>
        <w:t>Loonam</w:t>
      </w:r>
      <w:proofErr w:type="spellEnd"/>
      <w:r w:rsidRPr="002505DE">
        <w:rPr>
          <w:rFonts w:eastAsia="Times New Roman"/>
          <w:color w:val="000000"/>
        </w:rPr>
        <w:t xml:space="preserve"> et al. 2021). We would expect our non-random placement of cameras along travel corridors, would increase detection rate and would once again bias estimates high (</w:t>
      </w:r>
      <w:proofErr w:type="spellStart"/>
      <w:r w:rsidRPr="002505DE">
        <w:rPr>
          <w:rFonts w:eastAsia="Times New Roman"/>
          <w:color w:val="000000"/>
        </w:rPr>
        <w:t>Loonam</w:t>
      </w:r>
      <w:proofErr w:type="spellEnd"/>
      <w:r w:rsidRPr="002505DE">
        <w:rPr>
          <w:rFonts w:eastAsia="Times New Roman"/>
          <w:color w:val="000000"/>
        </w:rPr>
        <w:t xml:space="preserve"> et al. 2021). </w:t>
      </w:r>
    </w:p>
    <w:p w14:paraId="172C218D"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Furthermore, while our model average results were non-significant, our top </w:t>
      </w:r>
      <w:proofErr w:type="gramStart"/>
      <w:r w:rsidRPr="002505DE">
        <w:rPr>
          <w:rFonts w:eastAsia="Times New Roman"/>
          <w:color w:val="000000"/>
        </w:rPr>
        <w:t>models</w:t>
      </w:r>
      <w:proofErr w:type="gramEnd"/>
      <w:r w:rsidRPr="002505DE">
        <w:rPr>
          <w:rFonts w:eastAsia="Times New Roman"/>
          <w:color w:val="000000"/>
        </w:rPr>
        <w:t xml:space="preserve"> of density estimates at individual cameras repeatedly contained human activity and trail density. With these factors explaining the data better than any other included covariates; suggesting trail density, and relative human activity may play a role in decreases in density.</w:t>
      </w:r>
    </w:p>
    <w:p w14:paraId="130FD9A5" w14:textId="77777777" w:rsidR="008422B6" w:rsidRPr="00DD4D69" w:rsidRDefault="008422B6" w:rsidP="008422B6">
      <w:pPr>
        <w:spacing w:after="160" w:line="480" w:lineRule="auto"/>
        <w:ind w:right="-540"/>
        <w:rPr>
          <w:rFonts w:eastAsia="Times New Roman"/>
        </w:rPr>
      </w:pPr>
      <w:r w:rsidRPr="002505DE">
        <w:rPr>
          <w:rFonts w:eastAsia="Times New Roman"/>
          <w:color w:val="000000"/>
        </w:rPr>
        <w:t xml:space="preserve">Nevertheless, the notion of anthropogenic caused habitat degradation, loss or avoidance has been suggested as a mechanism limiting carrying capacity, supporting the evidence of our individual camera density modeling (Forrester and </w:t>
      </w:r>
      <w:proofErr w:type="spellStart"/>
      <w:r w:rsidRPr="002505DE">
        <w:rPr>
          <w:rFonts w:eastAsia="Times New Roman"/>
          <w:color w:val="000000"/>
        </w:rPr>
        <w:t>Wittmer</w:t>
      </w:r>
      <w:proofErr w:type="spellEnd"/>
      <w:r w:rsidRPr="002505DE">
        <w:rPr>
          <w:rFonts w:eastAsia="Times New Roman"/>
          <w:color w:val="000000"/>
        </w:rPr>
        <w:t xml:space="preserve"> 2013, Johnson et al. 2017). Unfortunately, the scope of these competing hypotheses is beyond the capabilities of our study but the possibilities to expand beyond the framework of our study to answer these questions will be discussed later.</w:t>
      </w:r>
    </w:p>
    <w:p w14:paraId="11E96753" w14:textId="46362361" w:rsidR="00B77375" w:rsidRDefault="00745489">
      <w:pPr>
        <w:rPr>
          <w:rFonts w:eastAsia="Times New Roman"/>
          <w:color w:val="000000"/>
        </w:rPr>
      </w:pPr>
      <w:r w:rsidRPr="002505DE">
        <w:rPr>
          <w:rFonts w:eastAsia="Times New Roman"/>
          <w:color w:val="000000"/>
        </w:rPr>
        <w:t>Further study could build on our research using TTE modeling as a less intensive and invasive method for estimating density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while following further development of TTE study design (Moeller et al. 2023). 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w:t>
      </w:r>
    </w:p>
    <w:p w14:paraId="65389E0D" w14:textId="4814467E" w:rsidR="00C96E03" w:rsidRDefault="00C96E03">
      <w:r w:rsidRPr="002505DE">
        <w:rPr>
          <w:rFonts w:eastAsia="Times New Roman"/>
          <w:color w:val="000000"/>
        </w:rPr>
        <w:t xml:space="preserve">Similar research into energy development did not find habituation by mule deer with respect to decreased avoidance of well pads, also observing a concomitant decline in the population over 15 years of development (Sawyer et al. 2017). </w:t>
      </w:r>
      <w:proofErr w:type="gramStart"/>
      <w:r w:rsidRPr="002505DE">
        <w:rPr>
          <w:rFonts w:eastAsia="Times New Roman"/>
          <w:color w:val="000000"/>
        </w:rPr>
        <w:t>However</w:t>
      </w:r>
      <w:proofErr w:type="gramEnd"/>
      <w:r w:rsidRPr="002505DE">
        <w:rPr>
          <w:rFonts w:eastAsia="Times New Roman"/>
          <w:color w:val="000000"/>
        </w:rPr>
        <w:t xml:space="preserve"> responses may differ between these two disturbance types, as the most active phase of natural gas development includes noise and artificial light beyond heavy traffic volumes and human activity (Northrup et al. 2021).</w:t>
      </w:r>
    </w:p>
    <w:sectPr w:rsidR="00C9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75"/>
    <w:rsid w:val="00202F5F"/>
    <w:rsid w:val="003E794F"/>
    <w:rsid w:val="006B297E"/>
    <w:rsid w:val="00745489"/>
    <w:rsid w:val="008422B6"/>
    <w:rsid w:val="00B14062"/>
    <w:rsid w:val="00B30C55"/>
    <w:rsid w:val="00B77375"/>
    <w:rsid w:val="00C9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5827"/>
  <w15:chartTrackingRefBased/>
  <w15:docId w15:val="{DAA403CB-3E3C-4BD0-BDA7-02E9C9B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75"/>
    <w:pPr>
      <w:spacing w:after="0" w:line="240" w:lineRule="auto"/>
    </w:pPr>
    <w:rPr>
      <w:rFonts w:ascii="Times New Roman" w:eastAsia="MS Mincho" w:hAnsi="Times New Roman" w:cs="Times New Roman"/>
      <w:kern w:val="0"/>
      <w14:ligatures w14:val="none"/>
    </w:rPr>
  </w:style>
  <w:style w:type="paragraph" w:styleId="Heading1">
    <w:name w:val="heading 1"/>
    <w:basedOn w:val="Normal"/>
    <w:next w:val="Normal"/>
    <w:link w:val="Heading1Char"/>
    <w:uiPriority w:val="9"/>
    <w:qFormat/>
    <w:rsid w:val="00B773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773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773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737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737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737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737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737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737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75"/>
    <w:rPr>
      <w:rFonts w:eastAsiaTheme="majorEastAsia" w:cstheme="majorBidi"/>
      <w:color w:val="272727" w:themeColor="text1" w:themeTint="D8"/>
    </w:rPr>
  </w:style>
  <w:style w:type="paragraph" w:styleId="Title">
    <w:name w:val="Title"/>
    <w:basedOn w:val="Normal"/>
    <w:next w:val="Normal"/>
    <w:link w:val="TitleChar"/>
    <w:uiPriority w:val="10"/>
    <w:qFormat/>
    <w:rsid w:val="00B77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7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77375"/>
    <w:rPr>
      <w:i/>
      <w:iCs/>
      <w:color w:val="404040" w:themeColor="text1" w:themeTint="BF"/>
    </w:rPr>
  </w:style>
  <w:style w:type="paragraph" w:styleId="ListParagraph">
    <w:name w:val="List Paragraph"/>
    <w:basedOn w:val="Normal"/>
    <w:uiPriority w:val="34"/>
    <w:qFormat/>
    <w:rsid w:val="00B7737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77375"/>
    <w:rPr>
      <w:i/>
      <w:iCs/>
      <w:color w:val="0F4761" w:themeColor="accent1" w:themeShade="BF"/>
    </w:rPr>
  </w:style>
  <w:style w:type="paragraph" w:styleId="IntenseQuote">
    <w:name w:val="Intense Quote"/>
    <w:basedOn w:val="Normal"/>
    <w:next w:val="Normal"/>
    <w:link w:val="IntenseQuoteChar"/>
    <w:uiPriority w:val="30"/>
    <w:qFormat/>
    <w:rsid w:val="00B773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77375"/>
    <w:rPr>
      <w:i/>
      <w:iCs/>
      <w:color w:val="0F4761" w:themeColor="accent1" w:themeShade="BF"/>
    </w:rPr>
  </w:style>
  <w:style w:type="character" w:styleId="IntenseReference">
    <w:name w:val="Intense Reference"/>
    <w:basedOn w:val="DefaultParagraphFont"/>
    <w:uiPriority w:val="32"/>
    <w:qFormat/>
    <w:rsid w:val="00B77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Wildey,Eli</dc:creator>
  <cp:keywords/>
  <dc:description/>
  <cp:lastModifiedBy>Wildey, Eli F - DNR</cp:lastModifiedBy>
  <cp:revision>6</cp:revision>
  <dcterms:created xsi:type="dcterms:W3CDTF">2025-02-24T04:38:00Z</dcterms:created>
  <dcterms:modified xsi:type="dcterms:W3CDTF">2025-04-10T03:24:00Z</dcterms:modified>
</cp:coreProperties>
</file>