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10. Appendix</w:t>
      </w:r>
    </w:p>
    <w:p>
      <w:pPr>
        <w:spacing w:before="120" w:after="240"/>
      </w:pPr>
      <w:r>
        <w:t xml:space="preserve">This appendix provides supporting documentation, methodological notes, and reference data used throughout the company intelligence report. Section 10.1 catalogs primary and secondary sources; Section 10.2 presents foreign exchange rates, industry benchmarks, and macroeconomic assumptions; Section 10.3 details calculations for derived financial metrics.</w:t>
      </w:r>
    </w:p>
    <w:p>
      <w:pPr>
        <w:pStyle w:val="Heading2"/>
      </w:pPr>
      <w:r>
        <w:t xml:space="preserve">10.1 Source References</w:t>
      </w:r>
    </w:p>
    <w:p>
      <w:pPr>
        <w:pStyle w:val="Heading3"/>
        <w:spacing w:before="120"/>
      </w:pPr>
      <w:r>
        <w:t xml:space="preserve">10.1.1 Primary Sources</w:t>
      </w:r>
    </w:p>
    <w:p>
      <w:pPr>
        <w:spacing w:before="100" w:after="100"/>
      </w:pPr>
      <w:r>
        <w:rPr>
          <w:b/>
          <w:bCs/>
        </w:rPr>
        <w:t xml:space="preserve">SEC Filings (Official Company Disclosures):</w:t>
      </w:r>
    </w:p>
    <w:p>
      <w:pPr>
        <w:pStyle w:val="ListParagraph"/>
        <w:numPr>
          <w:ilvl w:val="0"/>
          <w:numId w:val="2"/>
        </w:numPr>
      </w:pPr>
      <w:r>
        <w:t xml:space="preserve">Parker-Hannifin Corporation Form 10-K for fiscal year ended June 30, 2024 (filed August 22, 2024). Accessed via SEC EDGAR database.</w:t>
      </w:r>
    </w:p>
    <w:p>
      <w:pPr>
        <w:pStyle w:val="ListParagraph"/>
        <w:numPr>
          <w:ilvl w:val="0"/>
          <w:numId w:val="2"/>
        </w:numPr>
      </w:pPr>
      <w:r>
        <w:t xml:space="preserve">Parker-Hannifin Corporation Form 10-Q for quarters ended September 30, 2023; December 31, 2023; March 31, 2024; and September 30, 2024.</w:t>
      </w:r>
    </w:p>
    <w:p>
      <w:pPr>
        <w:pStyle w:val="ListParagraph"/>
        <w:numPr>
          <w:ilvl w:val="0"/>
          <w:numId w:val="2"/>
        </w:numPr>
      </w:pPr>
      <w:r>
        <w:t xml:space="preserve">Form 8-K Current Reports: Filtration Group acquisition announcement (November 11, 2024), quarterly earnings releases, and material event disclosures.</w:t>
      </w:r>
    </w:p>
    <w:p>
      <w:pPr>
        <w:spacing w:before="100" w:after="100"/>
      </w:pPr>
      <w:r>
        <w:rPr>
          <w:b/>
          <w:bCs/>
        </w:rPr>
        <w:t xml:space="preserve">Earnings Materials &amp; Investor Communications:</w:t>
      </w:r>
    </w:p>
    <w:p>
      <w:pPr>
        <w:pStyle w:val="ListParagraph"/>
        <w:numPr>
          <w:ilvl w:val="0"/>
          <w:numId w:val="2"/>
        </w:numPr>
      </w:pPr>
      <w:r>
        <w:t xml:space="preserve">Q4 FY2024 Earnings Release and Presentation (August 8, 2024) - investors.parker.com</w:t>
      </w:r>
    </w:p>
    <w:p>
      <w:pPr>
        <w:pStyle w:val="ListParagraph"/>
        <w:numPr>
          <w:ilvl w:val="0"/>
          <w:numId w:val="2"/>
        </w:numPr>
      </w:pPr>
      <w:r>
        <w:t xml:space="preserve">Q3 FY2024 Earnings Release and Presentation (May 2, 2024)</w:t>
      </w:r>
    </w:p>
    <w:p>
      <w:pPr>
        <w:pStyle w:val="ListParagraph"/>
        <w:numPr>
          <w:ilvl w:val="0"/>
          <w:numId w:val="2"/>
        </w:numPr>
      </w:pPr>
      <w:r>
        <w:t xml:space="preserve">Q2 FY2024 Earnings Release and Presentation (February 1, 2024)</w:t>
      </w:r>
    </w:p>
    <w:p>
      <w:pPr>
        <w:pStyle w:val="ListParagraph"/>
        <w:numPr>
          <w:ilvl w:val="0"/>
          <w:numId w:val="2"/>
        </w:numPr>
      </w:pPr>
      <w:r>
        <w:t xml:space="preserve">Q1 FY2024 Earnings Release and Presentation (November 2, 2023)</w:t>
      </w:r>
    </w:p>
    <w:p>
      <w:pPr>
        <w:pStyle w:val="ListParagraph"/>
        <w:numPr>
          <w:ilvl w:val="0"/>
          <w:numId w:val="2"/>
        </w:numPr>
      </w:pPr>
      <w:r>
        <w:t xml:space="preserve">Investor Day Presentation (May 16, 2024) - Updated long-term financial targets through FY2029</w:t>
      </w:r>
    </w:p>
    <w:p>
      <w:pPr>
        <w:pStyle w:val="ListParagraph"/>
        <w:numPr>
          <w:ilvl w:val="0"/>
          <w:numId w:val="2"/>
        </w:numPr>
      </w:pPr>
      <w:r>
        <w:t xml:space="preserve">Filtration Group Acquisition Announcement and Presentation (November 11, 2024)</w:t>
      </w:r>
    </w:p>
    <w:p>
      <w:pPr>
        <w:pStyle w:val="ListParagraph"/>
        <w:numPr>
          <w:ilvl w:val="0"/>
          <w:numId w:val="2"/>
        </w:numPr>
      </w:pPr>
      <w:r>
        <w:t xml:space="preserve">Parker-Hannifin 2024 Annual Report</w:t>
      </w:r>
    </w:p>
    <w:p>
      <w:pPr>
        <w:spacing w:before="100" w:after="100"/>
      </w:pPr>
      <w:r>
        <w:rPr>
          <w:b/>
          <w:bCs/>
        </w:rPr>
        <w:t xml:space="preserve">Corporate Website &amp; Investor Relations:</w:t>
      </w:r>
    </w:p>
    <w:p>
      <w:pPr>
        <w:pStyle w:val="ListParagraph"/>
        <w:numPr>
          <w:ilvl w:val="0"/>
          <w:numId w:val="2"/>
        </w:numPr>
      </w:pPr>
      <w:r>
        <w:t xml:space="preserve">investors.parker.com - Financial information, governance documents, ESG reporting</w:t>
      </w:r>
    </w:p>
    <w:p>
      <w:pPr>
        <w:pStyle w:val="ListParagraph"/>
        <w:numPr>
          <w:ilvl w:val="0"/>
          <w:numId w:val="2"/>
        </w:numPr>
      </w:pPr>
      <w:r>
        <w:t xml:space="preserve">www.parker.com - Product catalogs, technology descriptions, market applications</w:t>
      </w:r>
    </w:p>
    <w:p>
      <w:pPr>
        <w:pStyle w:val="ListParagraph"/>
        <w:numPr>
          <w:ilvl w:val="0"/>
          <w:numId w:val="2"/>
        </w:numPr>
      </w:pPr>
      <w:r>
        <w:t xml:space="preserve">Company history archives and historical annual reports (1917-present)</w:t>
      </w:r>
    </w:p>
    <w:p>
      <w:pPr>
        <w:pStyle w:val="Heading3"/>
        <w:spacing w:before="180"/>
      </w:pPr>
      <w:r>
        <w:t xml:space="preserve">10.1.2 Secondary Sources</w:t>
      </w:r>
    </w:p>
    <w:p>
      <w:pPr>
        <w:spacing w:before="100" w:after="100"/>
      </w:pPr>
      <w:r>
        <w:rPr>
          <w:b/>
          <w:bCs/>
        </w:rPr>
        <w:t xml:space="preserve">Industry Research &amp; Market Analysis:</w:t>
      </w:r>
    </w:p>
    <w:p>
      <w:pPr>
        <w:pStyle w:val="ListParagraph"/>
        <w:numPr>
          <w:ilvl w:val="0"/>
          <w:numId w:val="2"/>
        </w:numPr>
      </w:pPr>
      <w:r>
        <w:t xml:space="preserve">Deloitte: '2024 Aerospace and Defense Industry Outlook' and '2026 A&amp;D Industry Outlook' - Market trends, production forecasts, supply chain analysis</w:t>
      </w:r>
    </w:p>
    <w:p>
      <w:pPr>
        <w:pStyle w:val="ListParagraph"/>
        <w:numPr>
          <w:ilvl w:val="0"/>
          <w:numId w:val="2"/>
        </w:numPr>
      </w:pPr>
      <w:r>
        <w:t xml:space="preserve">PwC: 'Aerospace and Defense Review and Forecast 2024/2025' - Industry performance metrics and outlook</w:t>
      </w:r>
    </w:p>
    <w:p>
      <w:pPr>
        <w:pStyle w:val="ListParagraph"/>
        <w:numPr>
          <w:ilvl w:val="0"/>
          <w:numId w:val="2"/>
        </w:numPr>
      </w:pPr>
      <w:r>
        <w:t xml:space="preserve">AlixPartners: '2024 A&amp;D Outlook' - Supply chain challenges, ramp-up analysis, M&amp;A trends</w:t>
      </w:r>
    </w:p>
    <w:p>
      <w:pPr>
        <w:pStyle w:val="ListParagraph"/>
        <w:numPr>
          <w:ilvl w:val="0"/>
          <w:numId w:val="2"/>
        </w:numPr>
      </w:pPr>
      <w:r>
        <w:t xml:space="preserve">Allied Market Research: 'Aerospace and Defense Industry 2024 Overview' - Regional market analysis, technology trends</w:t>
      </w:r>
    </w:p>
    <w:p>
      <w:pPr>
        <w:pStyle w:val="ListParagraph"/>
        <w:numPr>
          <w:ilvl w:val="0"/>
          <w:numId w:val="2"/>
        </w:numPr>
      </w:pPr>
      <w:r>
        <w:t xml:space="preserve">Aerospace Industries Association (AIA): '2024 and 2025 Facts &amp; Figures' - Employment data, economic impact, trade statistics</w:t>
      </w:r>
    </w:p>
    <w:p>
      <w:pPr>
        <w:spacing w:before="100" w:after="100"/>
      </w:pPr>
      <w:r>
        <w:rPr>
          <w:b/>
          <w:bCs/>
        </w:rPr>
        <w:t xml:space="preserve">Competitor Intelligence:</w:t>
      </w:r>
    </w:p>
    <w:p>
      <w:pPr>
        <w:pStyle w:val="ListParagraph"/>
        <w:numPr>
          <w:ilvl w:val="0"/>
          <w:numId w:val="2"/>
        </w:numPr>
      </w:pPr>
      <w:r>
        <w:t xml:space="preserve">Eaton Corporation: 10-K filings, earnings releases, investor presentations (2023-2024)</w:t>
      </w:r>
    </w:p>
    <w:p>
      <w:pPr>
        <w:pStyle w:val="ListParagraph"/>
        <w:numPr>
          <w:ilvl w:val="0"/>
          <w:numId w:val="2"/>
        </w:numPr>
      </w:pPr>
      <w:r>
        <w:t xml:space="preserve">Honeywell International: Annual reports, quarterly earnings, segment disclosures</w:t>
      </w:r>
    </w:p>
    <w:p>
      <w:pPr>
        <w:pStyle w:val="ListParagraph"/>
        <w:numPr>
          <w:ilvl w:val="0"/>
          <w:numId w:val="2"/>
        </w:numPr>
      </w:pPr>
      <w:r>
        <w:t xml:space="preserve">Emerson Electric: Financial filings and investor materials</w:t>
      </w:r>
    </w:p>
    <w:p>
      <w:pPr>
        <w:pStyle w:val="ListParagraph"/>
        <w:numPr>
          <w:ilvl w:val="0"/>
          <w:numId w:val="2"/>
        </w:numPr>
      </w:pPr>
      <w:r>
        <w:t xml:space="preserve">Moog Inc., Donaldson Company: Public financial disclosures</w:t>
      </w:r>
    </w:p>
    <w:p>
      <w:pPr>
        <w:pStyle w:val="ListParagraph"/>
        <w:numPr>
          <w:ilvl w:val="0"/>
          <w:numId w:val="2"/>
        </w:numPr>
      </w:pPr>
      <w:r>
        <w:t xml:space="preserve">Bosch Rexroth, Danfoss, SMC Corporation: Company websites, press releases, industry publications</w:t>
      </w:r>
    </w:p>
    <w:p>
      <w:pPr>
        <w:spacing w:before="100" w:after="100"/>
      </w:pPr>
      <w:r>
        <w:rPr>
          <w:b/>
          <w:bCs/>
        </w:rPr>
        <w:t xml:space="preserve">News &amp; Press Coverage:</w:t>
      </w:r>
    </w:p>
    <w:p>
      <w:pPr>
        <w:pStyle w:val="ListParagraph"/>
        <w:numPr>
          <w:ilvl w:val="0"/>
          <w:numId w:val="2"/>
        </w:numPr>
      </w:pPr>
      <w:r>
        <w:t xml:space="preserve">Bloomberg: Filtration Group acquisition coverage, stock analysis, industry commentary</w:t>
      </w:r>
    </w:p>
    <w:p>
      <w:pPr>
        <w:pStyle w:val="ListParagraph"/>
        <w:numPr>
          <w:ilvl w:val="0"/>
          <w:numId w:val="2"/>
        </w:numPr>
      </w:pPr>
      <w:r>
        <w:t xml:space="preserve">Crain's Cleveland Business: Local coverage of Parker-Hannifin developments</w:t>
      </w:r>
    </w:p>
    <w:p>
      <w:pPr>
        <w:pStyle w:val="ListParagraph"/>
        <w:numPr>
          <w:ilvl w:val="0"/>
          <w:numId w:val="2"/>
        </w:numPr>
      </w:pPr>
      <w:r>
        <w:t xml:space="preserve">Aviation Week, Flight Global: Aerospace industry news and analysis</w:t>
      </w:r>
    </w:p>
    <w:p>
      <w:pPr>
        <w:pStyle w:val="ListParagraph"/>
        <w:numPr>
          <w:ilvl w:val="0"/>
          <w:numId w:val="2"/>
        </w:numPr>
      </w:pPr>
      <w:r>
        <w:t xml:space="preserve">ThomasNet, IndustryWeek: Industrial manufacturing news and trends</w:t>
      </w:r>
    </w:p>
    <w:p>
      <w:pPr>
        <w:spacing w:before="100" w:after="120"/>
      </w:pPr>
      <w:r>
        <w:rPr>
          <w:b/>
          <w:bCs/>
        </w:rPr>
        <w:t xml:space="preserve">Data Confidence &amp; Recency:</w:t>
      </w:r>
    </w:p>
    <w:p>
      <w:r>
        <w:t xml:space="preserve">All financial data are based on officially reported figures in SEC filings (10-K, 10-Q) as of fiscal year ended June 30, 2024 (filed August 22, 2024). Forward-looking statements and guidance reflect management's public disclosures as of November 2024. Market sizing, growth rates, and trend analysis incorporate third-party research published between June 2024 and December 2024. Confidence level: HIGH for historical financials (primary source verification); MEDIUM-HIGH for forward projections (based on management guidance); MEDIUM for competitive benchmarking (public disclosures with estimation required for private competitors).</w:t>
      </w:r>
    </w:p>
    <w:p>
      <w:pPr>
        <w:pStyle w:val="Heading2"/>
        <w:spacing w:before="240"/>
      </w:pPr>
      <w:r>
        <w:t xml:space="preserve">10.2 FX Rates, Industry Averages &amp; Assumptions</w:t>
      </w:r>
    </w:p>
    <w:p>
      <w:pPr>
        <w:pStyle w:val="Heading3"/>
        <w:spacing w:before="120"/>
      </w:pPr>
      <w:r>
        <w:t xml:space="preserve">10.2.1 Foreign Exchange Rates</w:t>
      </w:r>
    </w:p>
    <w:p>
      <w:pPr>
        <w:spacing w:before="100" w:after="120"/>
      </w:pPr>
      <w:r>
        <w:t xml:space="preserve">Parker-Hannifin reports in U.S. dollars. Foreign exchange fluctuations impact reported results as approximately 45% of revenue is generated outside the United States. The following average exchange rates were used for FY2024 reporting and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3000"/>
        <w:gridCol w:w="2500"/>
        <w:gridCol w:w="2500"/>
        <w:gridCol w:w="236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Currency Pair</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FY2024 Avg Rate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FY2023 Avg Rate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YoY Change</w:t>
            </w:r>
          </w:p>
        </w:tc>
      </w:tr>
      <w:tr>
        <w:tc>
          <w:tcPr>
            <w:tcBorders>
              <w:top w:val="single" w:color="CCCCCC" w:sz="1"/>
              <w:left w:val="single" w:color="CCCCCC" w:sz="1"/>
              <w:bottom w:val="single" w:color="CCCCCC" w:sz="1"/>
              <w:right w:val="single" w:color="CCCCCC" w:sz="1"/>
            </w:tcBorders>
          </w:tcPr>
          <w:p>
            <w:r>
              <w:rPr>
                <w:sz w:val="19"/>
                <w:szCs w:val="19"/>
              </w:rPr>
              <w:t xml:space="preserve">EUR/USD</w:t>
            </w:r>
          </w:p>
        </w:tc>
        <w:tc>
          <w:tcPr>
            <w:tcBorders>
              <w:top w:val="single" w:color="CCCCCC" w:sz="1"/>
              <w:left w:val="single" w:color="CCCCCC" w:sz="1"/>
              <w:bottom w:val="single" w:color="CCCCCC" w:sz="1"/>
              <w:right w:val="single" w:color="CCCCCC" w:sz="1"/>
            </w:tcBorders>
          </w:tcPr>
          <w:p>
            <w:pPr>
              <w:jc w:val="center"/>
            </w:pPr>
            <w:r>
              <w:rPr>
                <w:sz w:val="19"/>
                <w:szCs w:val="19"/>
              </w:rPr>
              <w:t xml:space="preserve">1.08</w:t>
            </w:r>
          </w:p>
        </w:tc>
        <w:tc>
          <w:tcPr>
            <w:tcBorders>
              <w:top w:val="single" w:color="CCCCCC" w:sz="1"/>
              <w:left w:val="single" w:color="CCCCCC" w:sz="1"/>
              <w:bottom w:val="single" w:color="CCCCCC" w:sz="1"/>
              <w:right w:val="single" w:color="CCCCCC" w:sz="1"/>
            </w:tcBorders>
          </w:tcPr>
          <w:p>
            <w:pPr>
              <w:jc w:val="center"/>
            </w:pPr>
            <w:r>
              <w:rPr>
                <w:sz w:val="19"/>
                <w:szCs w:val="19"/>
              </w:rPr>
              <w:t xml:space="preserve">1.07</w:t>
            </w:r>
          </w:p>
        </w:tc>
        <w:tc>
          <w:tcPr>
            <w:tcBorders>
              <w:top w:val="single" w:color="CCCCCC" w:sz="1"/>
              <w:left w:val="single" w:color="CCCCCC" w:sz="1"/>
              <w:bottom w:val="single" w:color="CCCCCC" w:sz="1"/>
              <w:right w:val="single" w:color="CCCCCC" w:sz="1"/>
            </w:tcBorders>
          </w:tcPr>
          <w:p>
            <w:pPr>
              <w:jc w:val="center"/>
            </w:pPr>
            <w:r>
              <w:rPr>
                <w:sz w:val="19"/>
                <w:szCs w:val="19"/>
              </w:rPr>
              <w:t xml:space="preserve">+0.9%</w:t>
            </w:r>
          </w:p>
        </w:tc>
      </w:tr>
      <w:tr>
        <w:tc>
          <w:tcPr>
            <w:tcBorders>
              <w:top w:val="single" w:color="CCCCCC" w:sz="1"/>
              <w:left w:val="single" w:color="CCCCCC" w:sz="1"/>
              <w:bottom w:val="single" w:color="CCCCCC" w:sz="1"/>
              <w:right w:val="single" w:color="CCCCCC" w:sz="1"/>
            </w:tcBorders>
          </w:tcPr>
          <w:p>
            <w:r>
              <w:rPr>
                <w:sz w:val="19"/>
                <w:szCs w:val="19"/>
              </w:rPr>
              <w:t xml:space="preserve">GBP/USD</w:t>
            </w:r>
          </w:p>
        </w:tc>
        <w:tc>
          <w:tcPr>
            <w:tcBorders>
              <w:top w:val="single" w:color="CCCCCC" w:sz="1"/>
              <w:left w:val="single" w:color="CCCCCC" w:sz="1"/>
              <w:bottom w:val="single" w:color="CCCCCC" w:sz="1"/>
              <w:right w:val="single" w:color="CCCCCC" w:sz="1"/>
            </w:tcBorders>
          </w:tcPr>
          <w:p>
            <w:pPr>
              <w:jc w:val="center"/>
            </w:pPr>
            <w:r>
              <w:rPr>
                <w:sz w:val="19"/>
                <w:szCs w:val="19"/>
              </w:rPr>
              <w:t xml:space="preserve">1.27</w:t>
            </w:r>
          </w:p>
        </w:tc>
        <w:tc>
          <w:tcPr>
            <w:tcBorders>
              <w:top w:val="single" w:color="CCCCCC" w:sz="1"/>
              <w:left w:val="single" w:color="CCCCCC" w:sz="1"/>
              <w:bottom w:val="single" w:color="CCCCCC" w:sz="1"/>
              <w:right w:val="single" w:color="CCCCCC" w:sz="1"/>
            </w:tcBorders>
          </w:tcPr>
          <w:p>
            <w:pPr>
              <w:jc w:val="center"/>
            </w:pPr>
            <w:r>
              <w:rPr>
                <w:sz w:val="19"/>
                <w:szCs w:val="19"/>
              </w:rPr>
              <w:t xml:space="preserve">1.23</w:t>
            </w:r>
          </w:p>
        </w:tc>
        <w:tc>
          <w:tcPr>
            <w:tcBorders>
              <w:top w:val="single" w:color="CCCCCC" w:sz="1"/>
              <w:left w:val="single" w:color="CCCCCC" w:sz="1"/>
              <w:bottom w:val="single" w:color="CCCCCC" w:sz="1"/>
              <w:right w:val="single" w:color="CCCCCC" w:sz="1"/>
            </w:tcBorders>
          </w:tcPr>
          <w:p>
            <w:pPr>
              <w:jc w:val="center"/>
            </w:pPr>
            <w:r>
              <w:rPr>
                <w:sz w:val="19"/>
                <w:szCs w:val="19"/>
              </w:rPr>
              <w:t xml:space="preserve">+3.3%</w:t>
            </w:r>
          </w:p>
        </w:tc>
      </w:tr>
      <w:tr>
        <w:tc>
          <w:tcPr>
            <w:tcBorders>
              <w:top w:val="single" w:color="CCCCCC" w:sz="1"/>
              <w:left w:val="single" w:color="CCCCCC" w:sz="1"/>
              <w:bottom w:val="single" w:color="CCCCCC" w:sz="1"/>
              <w:right w:val="single" w:color="CCCCCC" w:sz="1"/>
            </w:tcBorders>
          </w:tcPr>
          <w:p>
            <w:r>
              <w:rPr>
                <w:sz w:val="19"/>
                <w:szCs w:val="19"/>
              </w:rPr>
              <w:t xml:space="preserve">CNY/USD</w:t>
            </w:r>
          </w:p>
        </w:tc>
        <w:tc>
          <w:tcPr>
            <w:tcBorders>
              <w:top w:val="single" w:color="CCCCCC" w:sz="1"/>
              <w:left w:val="single" w:color="CCCCCC" w:sz="1"/>
              <w:bottom w:val="single" w:color="CCCCCC" w:sz="1"/>
              <w:right w:val="single" w:color="CCCCCC" w:sz="1"/>
            </w:tcBorders>
          </w:tcPr>
          <w:p>
            <w:pPr>
              <w:jc w:val="center"/>
            </w:pPr>
            <w:r>
              <w:rPr>
                <w:sz w:val="19"/>
                <w:szCs w:val="19"/>
              </w:rPr>
              <w:t xml:space="preserve">7.20</w:t>
            </w:r>
          </w:p>
        </w:tc>
        <w:tc>
          <w:tcPr>
            <w:tcBorders>
              <w:top w:val="single" w:color="CCCCCC" w:sz="1"/>
              <w:left w:val="single" w:color="CCCCCC" w:sz="1"/>
              <w:bottom w:val="single" w:color="CCCCCC" w:sz="1"/>
              <w:right w:val="single" w:color="CCCCCC" w:sz="1"/>
            </w:tcBorders>
          </w:tcPr>
          <w:p>
            <w:pPr>
              <w:jc w:val="center"/>
            </w:pPr>
            <w:r>
              <w:rPr>
                <w:sz w:val="19"/>
                <w:szCs w:val="19"/>
              </w:rPr>
              <w:t xml:space="preserve">6.98</w:t>
            </w:r>
          </w:p>
        </w:tc>
        <w:tc>
          <w:tcPr>
            <w:tcBorders>
              <w:top w:val="single" w:color="CCCCCC" w:sz="1"/>
              <w:left w:val="single" w:color="CCCCCC" w:sz="1"/>
              <w:bottom w:val="single" w:color="CCCCCC" w:sz="1"/>
              <w:right w:val="single" w:color="CCCCCC" w:sz="1"/>
            </w:tcBorders>
          </w:tcPr>
          <w:p>
            <w:pPr>
              <w:jc w:val="center"/>
            </w:pPr>
            <w:r>
              <w:rPr>
                <w:sz w:val="19"/>
                <w:szCs w:val="19"/>
              </w:rPr>
              <w:t xml:space="preserve">-3.2%</w:t>
            </w:r>
          </w:p>
        </w:tc>
      </w:tr>
      <w:tr>
        <w:tc>
          <w:tcPr>
            <w:tcBorders>
              <w:top w:val="single" w:color="CCCCCC" w:sz="1"/>
              <w:left w:val="single" w:color="CCCCCC" w:sz="1"/>
              <w:bottom w:val="single" w:color="CCCCCC" w:sz="1"/>
              <w:right w:val="single" w:color="CCCCCC" w:sz="1"/>
            </w:tcBorders>
          </w:tcPr>
          <w:p>
            <w:r>
              <w:rPr>
                <w:sz w:val="19"/>
                <w:szCs w:val="19"/>
              </w:rPr>
              <w:t xml:space="preserve">JPY/USD</w:t>
            </w:r>
          </w:p>
        </w:tc>
        <w:tc>
          <w:tcPr>
            <w:tcBorders>
              <w:top w:val="single" w:color="CCCCCC" w:sz="1"/>
              <w:left w:val="single" w:color="CCCCCC" w:sz="1"/>
              <w:bottom w:val="single" w:color="CCCCCC" w:sz="1"/>
              <w:right w:val="single" w:color="CCCCCC" w:sz="1"/>
            </w:tcBorders>
          </w:tcPr>
          <w:p>
            <w:pPr>
              <w:jc w:val="center"/>
            </w:pPr>
            <w:r>
              <w:rPr>
                <w:sz w:val="19"/>
                <w:szCs w:val="19"/>
              </w:rPr>
              <w:t xml:space="preserve">149</w:t>
            </w:r>
          </w:p>
        </w:tc>
        <w:tc>
          <w:tcPr>
            <w:tcBorders>
              <w:top w:val="single" w:color="CCCCCC" w:sz="1"/>
              <w:left w:val="single" w:color="CCCCCC" w:sz="1"/>
              <w:bottom w:val="single" w:color="CCCCCC" w:sz="1"/>
              <w:right w:val="single" w:color="CCCCCC" w:sz="1"/>
            </w:tcBorders>
          </w:tcPr>
          <w:p>
            <w:pPr>
              <w:jc w:val="center"/>
            </w:pPr>
            <w:r>
              <w:rPr>
                <w:sz w:val="19"/>
                <w:szCs w:val="19"/>
              </w:rPr>
              <w:t xml:space="preserve">137</w:t>
            </w:r>
          </w:p>
        </w:tc>
        <w:tc>
          <w:tcPr>
            <w:tcBorders>
              <w:top w:val="single" w:color="CCCCCC" w:sz="1"/>
              <w:left w:val="single" w:color="CCCCCC" w:sz="1"/>
              <w:bottom w:val="single" w:color="CCCCCC" w:sz="1"/>
              <w:right w:val="single" w:color="CCCCCC" w:sz="1"/>
            </w:tcBorders>
          </w:tcPr>
          <w:p>
            <w:pPr>
              <w:jc w:val="center"/>
            </w:pPr>
            <w:r>
              <w:rPr>
                <w:sz w:val="19"/>
                <w:szCs w:val="19"/>
              </w:rPr>
              <w:t xml:space="preserve">-8.8%</w:t>
            </w:r>
          </w:p>
        </w:tc>
      </w:tr>
    </w:tbl>
    <w:p>
      <w:pPr>
        <w:spacing w:before="180" w:after="120"/>
      </w:pPr>
      <w:r>
        <w:rPr>
          <w:b/>
          <w:bCs/>
        </w:rPr>
        <w:t xml:space="preserve">FX Impact on Reported Results:</w:t>
      </w:r>
    </w:p>
    <w:p>
      <w:r>
        <w:t xml:space="preserve">In FY2024, foreign exchange reduced reported sales by approximately 30 basis points (~$60M headwind) due to dollar strengthening against Asian currencies, partially offset by Euro/Sterling strength. Parker reports organic growth at constant currency by restating prior year results using current year exchange rates, eliminating FX distortion from performance analysis.</w:t>
      </w:r>
    </w:p>
    <w:p>
      <w:pPr>
        <w:pStyle w:val="Heading3"/>
        <w:spacing w:before="180"/>
      </w:pPr>
      <w:r>
        <w:t xml:space="preserve">10.2.2 Industry Benchmark Averages</w:t>
      </w:r>
    </w:p>
    <w:p>
      <w:pPr>
        <w:spacing w:before="100" w:after="120"/>
      </w:pPr>
      <w:r>
        <w:t xml:space="preserve">The following benchmarks represent diversified industrial peer group averages (Eaton, Honeywell, Emerson, Moog, Donaldson) based on most recent fiscal year data (FY2024 or CY2024). Used for competitive positioning analysis in Section 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4000"/>
        <w:gridCol w:w="3200"/>
        <w:gridCol w:w="316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Metric</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Peer Average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Parker-Hannifin</w:t>
            </w:r>
          </w:p>
        </w:tc>
      </w:tr>
      <w:tr>
        <w:tc>
          <w:tcPr>
            <w:tcBorders>
              <w:top w:val="single" w:color="CCCCCC" w:sz="1"/>
              <w:left w:val="single" w:color="CCCCCC" w:sz="1"/>
              <w:bottom w:val="single" w:color="CCCCCC" w:sz="1"/>
              <w:right w:val="single" w:color="CCCCCC" w:sz="1"/>
            </w:tcBorders>
          </w:tcPr>
          <w:p>
            <w:r>
              <w:rPr>
                <w:sz w:val="19"/>
                <w:szCs w:val="19"/>
              </w:rPr>
              <w:t xml:space="preserve">Operating Margin</w:t>
            </w:r>
          </w:p>
        </w:tc>
        <w:tc>
          <w:tcPr>
            <w:tcBorders>
              <w:top w:val="single" w:color="CCCCCC" w:sz="1"/>
              <w:left w:val="single" w:color="CCCCCC" w:sz="1"/>
              <w:bottom w:val="single" w:color="CCCCCC" w:sz="1"/>
              <w:right w:val="single" w:color="CCCCCC" w:sz="1"/>
            </w:tcBorders>
          </w:tcPr>
          <w:p>
            <w:pPr>
              <w:jc w:val="center"/>
            </w:pPr>
            <w:r>
              <w:rPr>
                <w:sz w:val="19"/>
                <w:szCs w:val="19"/>
              </w:rPr>
              <w:t xml:space="preserve">18.3%</w:t>
            </w:r>
          </w:p>
        </w:tc>
        <w:tc>
          <w:tcPr>
            <w:tcBorders>
              <w:top w:val="single" w:color="CCCCCC" w:sz="1"/>
              <w:left w:val="single" w:color="CCCCCC" w:sz="1"/>
              <w:bottom w:val="single" w:color="CCCCCC" w:sz="1"/>
              <w:right w:val="single" w:color="CCCCCC" w:sz="1"/>
            </w:tcBorders>
            <w:shd w:fill="D4EDDA" w:val="clear"/>
          </w:tcPr>
          <w:p>
            <w:pPr>
              <w:jc w:val="center"/>
            </w:pPr>
            <w:r>
              <w:rPr>
                <w:b/>
                <w:bCs/>
                <w:sz w:val="19"/>
                <w:szCs w:val="19"/>
              </w:rPr>
              <w:t xml:space="preserve">24.9%</w:t>
            </w:r>
          </w:p>
        </w:tc>
      </w:tr>
      <w:tr>
        <w:tc>
          <w:tcPr>
            <w:tcBorders>
              <w:top w:val="single" w:color="CCCCCC" w:sz="1"/>
              <w:left w:val="single" w:color="CCCCCC" w:sz="1"/>
              <w:bottom w:val="single" w:color="CCCCCC" w:sz="1"/>
              <w:right w:val="single" w:color="CCCCCC" w:sz="1"/>
            </w:tcBorders>
          </w:tcPr>
          <w:p>
            <w:r>
              <w:rPr>
                <w:sz w:val="19"/>
                <w:szCs w:val="19"/>
              </w:rPr>
              <w:t xml:space="preserve">EBITDA Margin</w:t>
            </w:r>
          </w:p>
        </w:tc>
        <w:tc>
          <w:tcPr>
            <w:tcBorders>
              <w:top w:val="single" w:color="CCCCCC" w:sz="1"/>
              <w:left w:val="single" w:color="CCCCCC" w:sz="1"/>
              <w:bottom w:val="single" w:color="CCCCCC" w:sz="1"/>
              <w:right w:val="single" w:color="CCCCCC" w:sz="1"/>
            </w:tcBorders>
          </w:tcPr>
          <w:p>
            <w:pPr>
              <w:jc w:val="center"/>
            </w:pPr>
            <w:r>
              <w:rPr>
                <w:sz w:val="19"/>
                <w:szCs w:val="19"/>
              </w:rPr>
              <w:t xml:space="preserve">22.0%</w:t>
            </w:r>
          </w:p>
        </w:tc>
        <w:tc>
          <w:tcPr>
            <w:tcBorders>
              <w:top w:val="single" w:color="CCCCCC" w:sz="1"/>
              <w:left w:val="single" w:color="CCCCCC" w:sz="1"/>
              <w:bottom w:val="single" w:color="CCCCCC" w:sz="1"/>
              <w:right w:val="single" w:color="CCCCCC" w:sz="1"/>
            </w:tcBorders>
            <w:shd w:fill="D4EDDA" w:val="clear"/>
          </w:tcPr>
          <w:p>
            <w:pPr>
              <w:jc w:val="center"/>
            </w:pPr>
            <w:r>
              <w:rPr>
                <w:b/>
                <w:bCs/>
                <w:sz w:val="19"/>
                <w:szCs w:val="19"/>
              </w:rPr>
              <w:t xml:space="preserve">25.6%</w:t>
            </w:r>
          </w:p>
        </w:tc>
      </w:tr>
      <w:tr>
        <w:tc>
          <w:tcPr>
            <w:tcBorders>
              <w:top w:val="single" w:color="CCCCCC" w:sz="1"/>
              <w:left w:val="single" w:color="CCCCCC" w:sz="1"/>
              <w:bottom w:val="single" w:color="CCCCCC" w:sz="1"/>
              <w:right w:val="single" w:color="CCCCCC" w:sz="1"/>
            </w:tcBorders>
          </w:tcPr>
          <w:p>
            <w:r>
              <w:rPr>
                <w:sz w:val="19"/>
                <w:szCs w:val="19"/>
              </w:rPr>
              <w:t xml:space="preserve">Return on Equity</w:t>
            </w:r>
          </w:p>
        </w:tc>
        <w:tc>
          <w:tcPr>
            <w:tcBorders>
              <w:top w:val="single" w:color="CCCCCC" w:sz="1"/>
              <w:left w:val="single" w:color="CCCCCC" w:sz="1"/>
              <w:bottom w:val="single" w:color="CCCCCC" w:sz="1"/>
              <w:right w:val="single" w:color="CCCCCC" w:sz="1"/>
            </w:tcBorders>
          </w:tcPr>
          <w:p>
            <w:pPr>
              <w:jc w:val="center"/>
            </w:pPr>
            <w:r>
              <w:rPr>
                <w:sz w:val="19"/>
                <w:szCs w:val="19"/>
              </w:rPr>
              <w:t xml:space="preserve">29.2%</w:t>
            </w:r>
          </w:p>
        </w:tc>
        <w:tc>
          <w:tcPr>
            <w:tcBorders>
              <w:top w:val="single" w:color="CCCCCC" w:sz="1"/>
              <w:left w:val="single" w:color="CCCCCC" w:sz="1"/>
              <w:bottom w:val="single" w:color="CCCCCC" w:sz="1"/>
              <w:right w:val="single" w:color="CCCCCC" w:sz="1"/>
            </w:tcBorders>
          </w:tcPr>
          <w:p>
            <w:pPr>
              <w:jc w:val="center"/>
            </w:pPr>
            <w:r>
              <w:rPr>
                <w:sz w:val="19"/>
                <w:szCs w:val="19"/>
              </w:rPr>
              <w:t xml:space="preserve">23.9%</w:t>
            </w:r>
          </w:p>
        </w:tc>
      </w:tr>
      <w:tr>
        <w:tc>
          <w:tcPr>
            <w:tcBorders>
              <w:top w:val="single" w:color="CCCCCC" w:sz="1"/>
              <w:left w:val="single" w:color="CCCCCC" w:sz="1"/>
              <w:bottom w:val="single" w:color="CCCCCC" w:sz="1"/>
              <w:right w:val="single" w:color="CCCCCC" w:sz="1"/>
            </w:tcBorders>
          </w:tcPr>
          <w:p>
            <w:r>
              <w:rPr>
                <w:sz w:val="19"/>
                <w:szCs w:val="19"/>
              </w:rPr>
              <w:t xml:space="preserve">Free Cash Flow Margin</w:t>
            </w:r>
          </w:p>
        </w:tc>
        <w:tc>
          <w:tcPr>
            <w:tcBorders>
              <w:top w:val="single" w:color="CCCCCC" w:sz="1"/>
              <w:left w:val="single" w:color="CCCCCC" w:sz="1"/>
              <w:bottom w:val="single" w:color="CCCCCC" w:sz="1"/>
              <w:right w:val="single" w:color="CCCCCC" w:sz="1"/>
            </w:tcBorders>
          </w:tcPr>
          <w:p>
            <w:pPr>
              <w:jc w:val="center"/>
            </w:pPr>
            <w:r>
              <w:rPr>
                <w:sz w:val="19"/>
                <w:szCs w:val="19"/>
              </w:rPr>
              <w:t xml:space="preserve">12.4%</w:t>
            </w:r>
          </w:p>
        </w:tc>
        <w:tc>
          <w:tcPr>
            <w:tcBorders>
              <w:top w:val="single" w:color="CCCCCC" w:sz="1"/>
              <w:left w:val="single" w:color="CCCCCC" w:sz="1"/>
              <w:bottom w:val="single" w:color="CCCCCC" w:sz="1"/>
              <w:right w:val="single" w:color="CCCCCC" w:sz="1"/>
            </w:tcBorders>
            <w:shd w:fill="D4EDDA" w:val="clear"/>
          </w:tcPr>
          <w:p>
            <w:pPr>
              <w:jc w:val="center"/>
            </w:pPr>
            <w:r>
              <w:rPr>
                <w:b/>
                <w:bCs/>
                <w:sz w:val="19"/>
                <w:szCs w:val="19"/>
              </w:rPr>
              <w:t xml:space="preserve">15.0%</w:t>
            </w:r>
          </w:p>
        </w:tc>
      </w:tr>
      <w:tr>
        <w:tc>
          <w:tcPr>
            <w:tcBorders>
              <w:top w:val="single" w:color="CCCCCC" w:sz="1"/>
              <w:left w:val="single" w:color="CCCCCC" w:sz="1"/>
              <w:bottom w:val="single" w:color="CCCCCC" w:sz="1"/>
              <w:right w:val="single" w:color="CCCCCC" w:sz="1"/>
            </w:tcBorders>
          </w:tcPr>
          <w:p>
            <w:r>
              <w:rPr>
                <w:sz w:val="19"/>
                <w:szCs w:val="19"/>
              </w:rPr>
              <w:t xml:space="preserve">Revenue CAGR (5-year)</w:t>
            </w:r>
          </w:p>
        </w:tc>
        <w:tc>
          <w:tcPr>
            <w:tcBorders>
              <w:top w:val="single" w:color="CCCCCC" w:sz="1"/>
              <w:left w:val="single" w:color="CCCCCC" w:sz="1"/>
              <w:bottom w:val="single" w:color="CCCCCC" w:sz="1"/>
              <w:right w:val="single" w:color="CCCCCC" w:sz="1"/>
            </w:tcBorders>
          </w:tcPr>
          <w:p>
            <w:pPr>
              <w:jc w:val="center"/>
            </w:pPr>
            <w:r>
              <w:rPr>
                <w:sz w:val="19"/>
                <w:szCs w:val="19"/>
              </w:rPr>
              <w:t xml:space="preserve">5.5%</w:t>
            </w:r>
          </w:p>
        </w:tc>
        <w:tc>
          <w:tcPr>
            <w:tcBorders>
              <w:top w:val="single" w:color="CCCCCC" w:sz="1"/>
              <w:left w:val="single" w:color="CCCCCC" w:sz="1"/>
              <w:bottom w:val="single" w:color="CCCCCC" w:sz="1"/>
              <w:right w:val="single" w:color="CCCCCC" w:sz="1"/>
            </w:tcBorders>
            <w:shd w:fill="D4EDDA" w:val="clear"/>
          </w:tcPr>
          <w:p>
            <w:pPr>
              <w:jc w:val="center"/>
            </w:pPr>
            <w:r>
              <w:rPr>
                <w:b/>
                <w:bCs/>
                <w:sz w:val="19"/>
                <w:szCs w:val="19"/>
              </w:rPr>
              <w:t xml:space="preserve">7.0%</w:t>
            </w:r>
          </w:p>
        </w:tc>
      </w:tr>
    </w:tbl>
    <w:p>
      <w:pPr>
        <w:pStyle w:val="Heading3"/>
        <w:spacing w:before="180"/>
      </w:pPr>
      <w:r>
        <w:t xml:space="preserve">10.2.3 Macroeconomic &amp; Market Assumptions</w:t>
      </w:r>
    </w:p>
    <w:p>
      <w:pPr>
        <w:spacing w:before="100" w:after="100"/>
      </w:pPr>
      <w:r>
        <w:rPr>
          <w:b/>
          <w:bCs/>
        </w:rPr>
        <w:t xml:space="preserve">Aerospace Market Assumptions:</w:t>
      </w:r>
    </w:p>
    <w:p>
      <w:pPr>
        <w:pStyle w:val="ListParagraph"/>
        <w:numPr>
          <w:ilvl w:val="0"/>
          <w:numId w:val="2"/>
        </w:numPr>
      </w:pPr>
      <w:r>
        <w:t xml:space="preserve">Global air travel demand: 102% of 2019 levels (2024), growing 4-5% CAGR through 2030</w:t>
      </w:r>
    </w:p>
    <w:p>
      <w:pPr>
        <w:pStyle w:val="ListParagraph"/>
        <w:numPr>
          <w:ilvl w:val="0"/>
          <w:numId w:val="2"/>
        </w:numPr>
      </w:pPr>
      <w:r>
        <w:t xml:space="preserve">Boeing 737 MAX production: 38 units/month by Q4 2024, targeting 50+ by 2026</w:t>
      </w:r>
    </w:p>
    <w:p>
      <w:pPr>
        <w:pStyle w:val="ListParagraph"/>
        <w:numPr>
          <w:ilvl w:val="0"/>
          <w:numId w:val="2"/>
        </w:numPr>
      </w:pPr>
      <w:r>
        <w:t xml:space="preserve">Airbus A320neo family: 60+ units/month in 2024, targeting 75/month by 2026</w:t>
      </w:r>
    </w:p>
    <w:p>
      <w:pPr>
        <w:pStyle w:val="ListParagraph"/>
        <w:numPr>
          <w:ilvl w:val="0"/>
          <w:numId w:val="2"/>
        </w:numPr>
      </w:pPr>
      <w:r>
        <w:t xml:space="preserve">F-35 production: 156 units/year target (current ~140/year)</w:t>
      </w:r>
    </w:p>
    <w:p>
      <w:pPr>
        <w:pStyle w:val="ListParagraph"/>
        <w:numPr>
          <w:ilvl w:val="0"/>
          <w:numId w:val="2"/>
        </w:numPr>
      </w:pPr>
      <w:r>
        <w:t xml:space="preserve">Commercial aftermarket: Growing 8-12% annually through 2027 as flight hours normalize</w:t>
      </w:r>
    </w:p>
    <w:p>
      <w:pPr>
        <w:spacing w:before="100" w:after="100"/>
      </w:pPr>
      <w:r>
        <w:rPr>
          <w:b/>
          <w:bCs/>
        </w:rPr>
        <w:t xml:space="preserve">Industrial Market Assumptions:</w:t>
      </w:r>
    </w:p>
    <w:p>
      <w:pPr>
        <w:pStyle w:val="ListParagraph"/>
        <w:numPr>
          <w:ilvl w:val="0"/>
          <w:numId w:val="2"/>
        </w:numPr>
      </w:pPr>
      <w:r>
        <w:t xml:space="preserve">U.S. Manufacturing PMI: Averaging 48-52 (expansion/contraction threshold) through 2025</w:t>
      </w:r>
    </w:p>
    <w:p>
      <w:pPr>
        <w:pStyle w:val="ListParagraph"/>
        <w:numPr>
          <w:ilvl w:val="0"/>
          <w:numId w:val="2"/>
        </w:numPr>
      </w:pPr>
      <w:r>
        <w:t xml:space="preserve">Industrial capex spending: Modest growth 2-4% annually, driven by automation and reshoring</w:t>
      </w:r>
    </w:p>
    <w:p>
      <w:pPr>
        <w:pStyle w:val="ListParagraph"/>
        <w:numPr>
          <w:ilvl w:val="0"/>
          <w:numId w:val="2"/>
        </w:numPr>
      </w:pPr>
      <w:r>
        <w:t xml:space="preserve">Oil &amp; gas capex: $600-650B globally in 2025, up from $550B in 2023</w:t>
      </w:r>
    </w:p>
    <w:p>
      <w:pPr>
        <w:pStyle w:val="ListParagraph"/>
        <w:numPr>
          <w:ilvl w:val="0"/>
          <w:numId w:val="2"/>
        </w:numPr>
      </w:pPr>
      <w:r>
        <w:t xml:space="preserve">Construction equipment demand: Flat to low-single-digit growth in North America/Europe; mid-single-digit in Asia-Pacific</w:t>
      </w:r>
    </w:p>
    <w:p>
      <w:pPr>
        <w:spacing w:before="100" w:after="120"/>
      </w:pPr>
      <w:r>
        <w:rPr>
          <w:b/>
          <w:bCs/>
        </w:rPr>
        <w:t xml:space="preserve">Inflation &amp; Cost Assumptions:</w:t>
      </w:r>
    </w:p>
    <w:p>
      <w:pPr>
        <w:pStyle w:val="ListParagraph"/>
        <w:numPr>
          <w:ilvl w:val="0"/>
          <w:numId w:val="2"/>
        </w:numPr>
      </w:pPr>
      <w:r>
        <w:t xml:space="preserve">Raw material inflation: 1-3% annually (steel, aluminum, copper, plastics) - moderating from 2022-2023 peaks</w:t>
      </w:r>
    </w:p>
    <w:p>
      <w:pPr>
        <w:pStyle w:val="ListParagraph"/>
        <w:numPr>
          <w:ilvl w:val="0"/>
          <w:numId w:val="2"/>
        </w:numPr>
      </w:pPr>
      <w:r>
        <w:t xml:space="preserve">Labor cost inflation: 3-5% in aerospace/defense; 2-4% in general industrial</w:t>
      </w:r>
    </w:p>
    <w:p>
      <w:pPr>
        <w:pStyle w:val="ListParagraph"/>
        <w:numPr>
          <w:ilvl w:val="0"/>
          <w:numId w:val="2"/>
        </w:numPr>
      </w:pPr>
      <w:r>
        <w:t xml:space="preserve">Freight/logistics: Normalized to pre-pandemic levels (2019 baseline +10-15%)</w:t>
      </w:r>
    </w:p>
    <w:p>
      <w:pPr>
        <w:pStyle w:val="ListParagraph"/>
        <w:numPr>
          <w:ilvl w:val="0"/>
          <w:numId w:val="2"/>
        </w:numPr>
      </w:pPr>
      <w:r>
        <w:t xml:space="preserve">Parker price realization: 3-4% annually, offsetting inflation through contractual escalators and market pricing</w:t>
      </w:r>
    </w:p>
    <w:p>
      <w:pPr>
        <w:pStyle w:val="Heading2"/>
        <w:spacing w:before="240"/>
      </w:pPr>
      <w:r>
        <w:t xml:space="preserve">10.3 Derived Metrics &amp; Calculation Methodology</w:t>
      </w:r>
    </w:p>
    <w:p>
      <w:pPr>
        <w:pStyle w:val="Heading3"/>
        <w:spacing w:before="120"/>
      </w:pPr>
      <w:r>
        <w:t xml:space="preserve">10.3.1 Margin Calculations</w:t>
      </w:r>
    </w:p>
    <w:p>
      <w:pPr>
        <w:spacing w:before="100" w:after="80"/>
      </w:pPr>
      <w:r>
        <w:rPr>
          <w:b/>
          <w:bCs/>
        </w:rPr>
        <w:t xml:space="preserve">Adjusted Segment Operating Margin:</w:t>
      </w:r>
    </w:p>
    <w:p>
      <w:pPr>
        <w:spacing w:after="120"/>
      </w:pPr>
      <w:r>
        <w:t xml:space="preserve">Parker reports adjusted segment operating margin excluding: (1) Business realignment charges (restructuring, facility consolidations), (2) Acquisition-related intangible asset amortization, (3) Costs to achieve (integration expenses for M&amp;A), and (4) Acquisition-related costs. FY2024 adjusted segment operating margin of 24.9% is calculated as adjusted segment operating income of $4,964M divided by total sales of $19,930M.</w:t>
      </w:r>
    </w:p>
    <w:p>
      <w:pPr>
        <w:spacing w:before="80" w:after="80"/>
      </w:pPr>
      <w:r>
        <w:rPr>
          <w:b/>
          <w:bCs/>
        </w:rPr>
        <w:t xml:space="preserve">EBITDA &amp; Adjusted EBITDA Margin:</w:t>
      </w:r>
    </w:p>
    <w:p>
      <w:pPr>
        <w:spacing w:after="120"/>
      </w:pPr>
      <w:r>
        <w:t xml:space="preserve">EBITDA = Net Income + Interest Expense + Income Taxes + Depreciation + Amortization. Adjusted EBITDA further excludes business realignment charges, acquisition-related costs, and other non-recurring items. FY2024 adjusted EBITDA margin of 25.6% represents adjusted EBITDA of ~$5,102M divided by sales of $19,930M.</w:t>
      </w:r>
    </w:p>
    <w:p>
      <w:pPr>
        <w:spacing w:before="80" w:after="80"/>
      </w:pPr>
      <w:r>
        <w:rPr>
          <w:b/>
          <w:bCs/>
        </w:rPr>
        <w:t xml:space="preserve">Return on Sales (ROS):</w:t>
      </w:r>
    </w:p>
    <w:p>
      <w:pPr>
        <w:spacing w:after="120"/>
      </w:pPr>
      <w:r>
        <w:t xml:space="preserve">Adjusted net income divided by total sales. FY2024 adjusted ROS of 16.4% = adjusted net income of $3,274M / sales of $19,930M.</w:t>
      </w:r>
    </w:p>
    <w:p>
      <w:pPr>
        <w:pStyle w:val="Heading3"/>
        <w:spacing w:before="180"/>
      </w:pPr>
      <w:r>
        <w:t xml:space="preserve">10.3.2 Return &amp; Efficiency Metrics</w:t>
      </w:r>
    </w:p>
    <w:p>
      <w:pPr>
        <w:spacing w:before="100" w:after="80"/>
      </w:pPr>
      <w:r>
        <w:rPr>
          <w:b/>
          <w:bCs/>
        </w:rPr>
        <w:t xml:space="preserve">Return on Equity (ROE):</w:t>
      </w:r>
    </w:p>
    <w:p>
      <w:pPr>
        <w:spacing w:after="120"/>
      </w:pPr>
      <w:r>
        <w:t xml:space="preserve">Net income divided by average shareholders' equity. FY2024 ROE of 23.9% = net income of $3,195M / average equity of $13,366M (average of beginning and ending equity).</w:t>
      </w:r>
    </w:p>
    <w:p>
      <w:pPr>
        <w:spacing w:before="80" w:after="80"/>
      </w:pPr>
      <w:r>
        <w:rPr>
          <w:b/>
          <w:bCs/>
        </w:rPr>
        <w:t xml:space="preserve">Return on Invested Capital (ROIC):</w:t>
      </w:r>
    </w:p>
    <w:p>
      <w:pPr>
        <w:spacing w:after="120"/>
      </w:pPr>
      <w:r>
        <w:t xml:space="preserve">NOPAT (Net Operating Profit After Tax) divided by invested capital. Invested capital = total debt + shareholders' equity - cash and cash equivalents. FY2024 estimated ROIC of ~14% based on NOPAT of ~$2,800M and invested capital of ~$20,000M.</w:t>
      </w:r>
    </w:p>
    <w:p>
      <w:pPr>
        <w:spacing w:before="80" w:after="80"/>
      </w:pPr>
      <w:r>
        <w:rPr>
          <w:b/>
          <w:bCs/>
        </w:rPr>
        <w:t xml:space="preserve">Free Cash Flow (FCF) &amp; FCF Margin:</w:t>
      </w:r>
    </w:p>
    <w:p>
      <w:pPr>
        <w:spacing w:after="120"/>
      </w:pPr>
      <w:r>
        <w:t xml:space="preserve">FCF = Cash flow from operations - Capital expenditures. FY2024: CFOA of $3,384M - capex of $400M = FCF of $2,984M. FCF margin = FCF / sales = $2,984M / $19,930M = 15.0%.</w:t>
      </w:r>
    </w:p>
    <w:p>
      <w:pPr>
        <w:spacing w:before="80" w:after="80"/>
      </w:pPr>
      <w:r>
        <w:rPr>
          <w:b/>
          <w:bCs/>
        </w:rPr>
        <w:t xml:space="preserve">Working Capital Metrics:</w:t>
      </w:r>
    </w:p>
    <w:p>
      <w:pPr>
        <w:pStyle w:val="ListParagraph"/>
        <w:numPr>
          <w:ilvl w:val="0"/>
          <w:numId w:val="2"/>
        </w:numPr>
      </w:pPr>
      <w:r>
        <w:t xml:space="preserve">Days Inventory Outstanding (DIO) = (Inventory / COGS) × 365. FY2024: 80 days = ($4,312M / $12,793M annual COGS) × 365</w:t>
      </w:r>
    </w:p>
    <w:p>
      <w:pPr>
        <w:pStyle w:val="ListParagraph"/>
        <w:numPr>
          <w:ilvl w:val="0"/>
          <w:numId w:val="2"/>
        </w:numPr>
      </w:pPr>
      <w:r>
        <w:t xml:space="preserve">Days Sales Outstanding (DSO) = (Accounts Receivable / Sales) × 365. FY2024: 51 days</w:t>
      </w:r>
    </w:p>
    <w:p>
      <w:pPr>
        <w:pStyle w:val="ListParagraph"/>
        <w:numPr>
          <w:ilvl w:val="0"/>
          <w:numId w:val="2"/>
        </w:numPr>
      </w:pPr>
      <w:r>
        <w:t xml:space="preserve">Days Payables Outstanding (DPO) = (Accounts Payable / COGS) × 365</w:t>
      </w:r>
    </w:p>
    <w:p>
      <w:pPr>
        <w:spacing w:before="80" w:after="120"/>
      </w:pPr>
      <w:r>
        <w:t xml:space="preserve">Cash Conversion Cycle = DIO + DSO - DPO</w:t>
      </w:r>
    </w:p>
    <w:p>
      <w:pPr>
        <w:pStyle w:val="Heading3"/>
        <w:spacing w:before="180"/>
      </w:pPr>
      <w:r>
        <w:t xml:space="preserve">10.3.3 Leverage &amp; Coverage Ratios</w:t>
      </w:r>
    </w:p>
    <w:p>
      <w:pPr>
        <w:spacing w:before="100" w:after="80"/>
      </w:pPr>
      <w:r>
        <w:rPr>
          <w:b/>
          <w:bCs/>
        </w:rPr>
        <w:t xml:space="preserve">Net Debt / EBITDA:</w:t>
      </w:r>
    </w:p>
    <w:p>
      <w:pPr>
        <w:spacing w:after="120"/>
      </w:pPr>
      <w:r>
        <w:t xml:space="preserve">Net Debt = Total Debt - Cash and Cash Equivalents. FY2024: Net debt of ~$10,200M / adjusted EBITDA of ~$5,100M = 2.0x leverage ratio (Parker's stated target).</w:t>
      </w:r>
    </w:p>
    <w:p>
      <w:pPr>
        <w:spacing w:before="80" w:after="80"/>
      </w:pPr>
      <w:r>
        <w:rPr>
          <w:b/>
          <w:bCs/>
        </w:rPr>
        <w:t xml:space="preserve">Interest Coverage Ratio:</w:t>
      </w:r>
    </w:p>
    <w:p>
      <w:pPr>
        <w:spacing w:after="120"/>
      </w:pPr>
      <w:r>
        <w:t xml:space="preserve">EBIT / Interest Expense. FY2024: Operating income of $4,288M / interest expense of ~$450M = ~9.5x coverage (strong creditworthiness).</w:t>
      </w:r>
    </w:p>
    <w:p>
      <w:pPr>
        <w:pStyle w:val="Heading3"/>
        <w:spacing w:before="180"/>
      </w:pPr>
      <w:r>
        <w:t xml:space="preserve">10.3.4 Growth Rate Calculations</w:t>
      </w:r>
    </w:p>
    <w:p>
      <w:pPr>
        <w:spacing w:before="100" w:after="80"/>
      </w:pPr>
      <w:r>
        <w:rPr>
          <w:b/>
          <w:bCs/>
        </w:rPr>
        <w:t xml:space="preserve">Organic Growth:</w:t>
      </w:r>
    </w:p>
    <w:p>
      <w:pPr>
        <w:spacing w:after="120"/>
      </w:pPr>
      <w:r>
        <w:t xml:space="preserve">Parker reports organic growth at constant currency excluding acquisitions and divestitures. Calculation: [(Current Year Sales at Prior Year FX Rates) - (Prior Year Sales excluding divested businesses including acquired businesses)] / (Prior Year Sales excluding divested businesses including acquired businesses). This isolates underlying business performance from M&amp;A and FX effects.</w:t>
      </w:r>
    </w:p>
    <w:p>
      <w:pPr>
        <w:spacing w:before="80" w:after="80"/>
      </w:pPr>
      <w:r>
        <w:rPr>
          <w:b/>
          <w:bCs/>
        </w:rPr>
        <w:t xml:space="preserve">Compound Annual Growth Rate (CAGR):</w:t>
      </w:r>
    </w:p>
    <w:p>
      <w:pPr>
        <w:spacing w:after="120"/>
      </w:pPr>
      <w:r>
        <w:t xml:space="preserve">CAGR = [(Ending Value / Beginning Value)^(1/number of years)] - 1. Example: FY2019-FY2024 revenue CAGR of 7% = [($19,930M / $14,301M)^(1/5)] - 1 = 6.9%.</w:t>
      </w:r>
    </w:p>
    <w:p>
      <w:pPr>
        <w:pStyle w:val="Heading2"/>
        <w:spacing w:before="240"/>
      </w:pPr>
      <w:r>
        <w:t xml:space="preserve">10.4 Report Methodology &amp; Limitations</w:t>
      </w:r>
    </w:p>
    <w:p>
      <w:pPr>
        <w:spacing w:before="120" w:after="100"/>
      </w:pPr>
      <w:r>
        <w:rPr>
          <w:b/>
          <w:bCs/>
        </w:rPr>
        <w:t xml:space="preserve">Research Approach:</w:t>
      </w:r>
    </w:p>
    <w:p>
      <w:pPr>
        <w:spacing w:after="120"/>
      </w:pPr>
      <w:r>
        <w:t xml:space="preserve">This intelligence report synthesizes publicly available information from SEC filings, earnings materials, industry research, competitive analysis, and news sources. No proprietary or confidential information was accessed. Analysis represents the author's interpretation of disclosed data and should not be construed as investment advice, legal counsel, or official company position.</w:t>
      </w:r>
    </w:p>
    <w:p>
      <w:pPr>
        <w:spacing w:before="100" w:after="100"/>
      </w:pPr>
      <w:r>
        <w:rPr>
          <w:b/>
          <w:bCs/>
        </w:rPr>
        <w:t xml:space="preserve">Key Limitations:</w:t>
      </w:r>
    </w:p>
    <w:p>
      <w:pPr>
        <w:pStyle w:val="ListParagraph"/>
        <w:numPr>
          <w:ilvl w:val="0"/>
          <w:numId w:val="2"/>
        </w:numPr>
      </w:pPr>
      <w:r>
        <w:t xml:space="preserve">Forward-Looking Uncertainty: Projections, guidance, and trend analysis are subject to macroeconomic conditions, geopolitical events, competitive dynamics, and execution risk that may cause actual results to differ materially.</w:t>
      </w:r>
    </w:p>
    <w:p>
      <w:pPr>
        <w:pStyle w:val="ListParagraph"/>
        <w:numPr>
          <w:ilvl w:val="0"/>
          <w:numId w:val="2"/>
        </w:numPr>
      </w:pPr>
      <w:r>
        <w:t xml:space="preserve">Private Competitor Data: Benchmarking against private companies (Bosch Rexroth, Danfoss, SMC, Festo) relies on estimated figures from industry sources rather than audited financials.</w:t>
      </w:r>
    </w:p>
    <w:p>
      <w:pPr>
        <w:pStyle w:val="ListParagraph"/>
        <w:numPr>
          <w:ilvl w:val="0"/>
          <w:numId w:val="2"/>
        </w:numPr>
      </w:pPr>
      <w:r>
        <w:t xml:space="preserve">Market Sizing Estimates: TAM/SAM figures for emerging markets (hydrogen infrastructure, data center cooling, eVTOL) are based on third-party research with inherent forecast uncertainty.</w:t>
      </w:r>
    </w:p>
    <w:p>
      <w:pPr>
        <w:pStyle w:val="ListParagraph"/>
        <w:numPr>
          <w:ilvl w:val="0"/>
          <w:numId w:val="2"/>
        </w:numPr>
      </w:pPr>
      <w:r>
        <w:t xml:space="preserve">Segment Allocation: Some cross-segment revenue (aerospace filtration, industrial engineered materials) may be allocated differently in internal reporting versus public disclosure.</w:t>
      </w:r>
    </w:p>
    <w:p>
      <w:pPr>
        <w:pStyle w:val="ListParagraph"/>
        <w:numPr>
          <w:ilvl w:val="0"/>
          <w:numId w:val="2"/>
        </w:numPr>
      </w:pPr>
      <w:r>
        <w:t xml:space="preserve">M&amp;A Integration Complexity: Filtration Group synergy estimates and integration timelines are management projections subject to execution risk, regulatory approval, and market conditions.</w:t>
      </w:r>
    </w:p>
    <w:p>
      <w:pPr>
        <w:spacing w:before="100" w:after="120"/>
      </w:pPr>
      <w:r>
        <w:rPr>
          <w:b/>
          <w:bCs/>
        </w:rPr>
        <w:t xml:space="preserve">Report Currency &amp; Timing:</w:t>
      </w:r>
    </w:p>
    <w:p>
      <w:r>
        <w:t xml:space="preserve">All financial figures are reported in U.S. dollars unless otherwise noted. Report reflects information available as of December 5, 2024. Material developments after this date are not incorporated. Fiscal year references follow Parker-Hannifin's fiscal calendar (July 1 - June 30).</w:t>
      </w:r>
    </w:p>
    <w:p>
      <w:pPr>
        <w:spacing w:before="240" w:after="180"/>
        <w:jc w:val="center"/>
      </w:pPr>
      <w:r>
        <w:rPr>
          <w:b/>
          <w:bCs/>
          <w:i/>
          <w:iCs/>
          <w:sz w:val="24"/>
          <w:szCs w:val="24"/>
        </w:rPr>
        <w:t xml:space="preserve">--- End of Company Intelligence Report ---</w:t>
      </w:r>
    </w:p>
    <w:p>
      <w:pPr>
        <w:spacing w:before="120"/>
        <w:jc w:val="center"/>
      </w:pPr>
      <w:r>
        <w:rPr>
          <w:i/>
          <w:iCs/>
          <w:sz w:val="20"/>
          <w:szCs w:val="20"/>
        </w:rPr>
        <w:t xml:space="preserve">Report Prepared: December 2024</w:t>
      </w:r>
    </w:p>
    <w:p>
      <w:pPr>
        <w:jc w:val="center"/>
      </w:pPr>
      <w:r>
        <w:rPr>
          <w:i/>
          <w:iCs/>
          <w:sz w:val="20"/>
          <w:szCs w:val="20"/>
        </w:rPr>
        <w:t xml:space="preserve">Subject: Parker-Hannifin Corporation (NYSE: PH)</w:t>
      </w:r>
    </w:p>
    <w:p>
      <w:pPr>
        <w:jc w:val="center"/>
      </w:pPr>
      <w:r>
        <w:rPr>
          <w:i/>
          <w:iCs/>
          <w:sz w:val="20"/>
          <w:szCs w:val="20"/>
        </w:rPr>
        <w:t xml:space="preserve">Confidence Level: HIGH (Primary 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 w:type="paragraph" w:styleId="Heading3">
    <w:name w:val="Heading 3"/>
    <w:basedOn w:val="Normal"/>
    <w:next w:val="Normal"/>
    <w:qFormat/>
    <w:pPr>
      <w:spacing w:before="140" w:after="80"/>
      <w:outlineLvl w:val="2"/>
    </w:pPr>
    <w:rPr>
      <w:rFonts w:ascii="Arial" w:cs="Arial" w:eastAsia="Arial" w:hAnsi="Arial"/>
      <w:b/>
      <w:bCs/>
      <w:color w:val="365F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2025-12-05T22:21:00.801Z</dcterms:created>
  <dcterms:modified xsi:type="dcterms:W3CDTF">2025-12-05T22:21:00.802Z</dcterms:modified>
</cp:coreProperties>
</file>

<file path=docProps/custom.xml><?xml version="1.0" encoding="utf-8"?>
<Properties xmlns="http://schemas.openxmlformats.org/officeDocument/2006/custom-properties" xmlns:vt="http://schemas.openxmlformats.org/officeDocument/2006/docPropsVTypes"/>
</file>