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Executive Summary</w:t>
      </w:r>
    </w:p>
    <w:p>
      <w:pPr>
        <w:spacing w:before="120" w:after="120"/>
      </w:pPr>
      <w:r>
        <w:rPr>
          <w:b/>
          <w:bCs/>
        </w:rPr>
        <w:t xml:space="preserve">Company: </w:t>
      </w:r>
      <w:r>
        <w:t xml:space="preserve">Parker-Hannifin Corporation</w:t>
      </w:r>
    </w:p>
    <w:p>
      <w:pPr>
        <w:spacing w:after="120"/>
      </w:pPr>
      <w:r>
        <w:rPr>
          <w:b/>
          <w:bCs/>
        </w:rPr>
        <w:t xml:space="preserve">Report Date: </w:t>
      </w:r>
      <w:r>
        <w:t xml:space="preserve">December 5, 2024</w:t>
      </w:r>
    </w:p>
    <w:p>
      <w:pPr>
        <w:spacing w:after="120"/>
      </w:pPr>
      <w:r>
        <w:rPr>
          <w:b/>
          <w:bCs/>
        </w:rPr>
        <w:t xml:space="preserve">Geography Focus: </w:t>
      </w:r>
      <w:r>
        <w:t xml:space="preserve">Global (All Operations)</w:t>
      </w:r>
    </w:p>
    <w:p>
      <w:pPr>
        <w:spacing w:after="120"/>
      </w:pPr>
      <w:r>
        <w:rPr>
          <w:b/>
          <w:bCs/>
        </w:rPr>
        <w:t xml:space="preserve">Confidence Level: </w:t>
      </w:r>
      <w:r>
        <w:t xml:space="preserve">HIGH - Multiple primary sources including 10-K filings, earnings transcripts, and investor presentations from FY2024</w:t>
      </w:r>
    </w:p>
    <w:p>
      <w:pPr>
        <w:spacing w:before="240" w:after="120"/>
      </w:pPr>
      <w:r>
        <w:rPr>
          <w:b/>
          <w:bCs/>
          <w:sz w:val="24"/>
          <w:szCs w:val="24"/>
        </w:rPr>
        <w:t xml:space="preserve">Company Overview</w:t>
      </w:r>
    </w:p>
    <w:p>
      <w:pPr>
        <w:spacing w:after="120"/>
      </w:pPr>
      <w:r>
        <w:t xml:space="preserve">Parker-Hannifin Corporation (NYSE: PH) is a Fortune 250 global leader in motion and control technologies. Founded in 1938 and headquartered in Cleveland, Ohio, Parker has transformed into a $19.9 billion revenue enterprise serving aerospace and defense, in-plant and industrial equipment, transportation, off-highway, energy, and HVAC and refrigeration markets. The company employs approximately 61,120 team members globally with operations in 43 countries across 335 manufacturing plants.</w:t>
      </w:r>
    </w:p>
    <w:p>
      <w:pPr>
        <w:spacing w:before="240" w:after="120"/>
      </w:pPr>
      <w:r>
        <w:rPr>
          <w:b/>
          <w:bCs/>
          <w:sz w:val="24"/>
          <w:szCs w:val="24"/>
        </w:rPr>
        <w:t xml:space="preserve">Strategic Position</w:t>
      </w:r>
    </w:p>
    <w:p>
      <w:pPr>
        <w:spacing w:after="120"/>
      </w:pPr>
      <w:r>
        <w:t xml:space="preserve">Parker's competitive advantage stems from its unique portfolio of interconnected technologies spanning hydraulics, pneumatics, electromechanical systems, filtration, fluid and gas handling, process control, engineered materials, and climate control. Approximately two-thirds of revenue comes from customers purchasing four or more Parker technologies, demonstrating deep systems integration. Following the transformative $8.3 billion acquisition of Meggitt plc in September 2022, aerospace and defense now represents 33% of revenue, positioning Parker as a significant player across nearly every leading aircraft platform.</w:t>
      </w:r>
    </w:p>
    <w:p>
      <w:pPr>
        <w:spacing w:before="240" w:after="120"/>
      </w:pPr>
      <w:r>
        <w:rPr>
          <w:b/>
          <w:bCs/>
          <w:sz w:val="24"/>
          <w:szCs w:val="24"/>
        </w:rPr>
        <w:t xml:space="preserve">FY2024 Financial Performance Highlights</w:t>
      </w:r>
    </w:p>
    <w:p>
      <w:pPr>
        <w:spacing w:after="80"/>
      </w:pPr>
      <w:r>
        <w:t xml:space="preserve">• Revenue reached a record $19.9 billion, up 5% from $19.1 billion in FY2023</w:t>
      </w:r>
    </w:p>
    <w:p>
      <w:pPr>
        <w:spacing w:after="80"/>
      </w:pPr>
      <w:r>
        <w:t xml:space="preserve">• Adjusted segment operating margin expanded 200 basis points to a record 24.9%</w:t>
      </w:r>
    </w:p>
    <w:p>
      <w:pPr>
        <w:spacing w:after="80"/>
      </w:pPr>
      <w:r>
        <w:t xml:space="preserve">• Adjusted earnings per share increased 18% to a record $25.44</w:t>
      </w:r>
    </w:p>
    <w:p>
      <w:pPr>
        <w:spacing w:after="80"/>
      </w:pPr>
      <w:r>
        <w:t xml:space="preserve">• Cash flow from operations grew 14% to a record $3.4 billion (17.0% of sales)</w:t>
      </w:r>
    </w:p>
    <w:p>
      <w:pPr>
        <w:spacing w:after="80"/>
      </w:pPr>
      <w:r>
        <w:t xml:space="preserve">• Free cash flow reached $3.0 billion, doubling from FY2019</w:t>
      </w:r>
    </w:p>
    <w:p>
      <w:pPr>
        <w:spacing w:after="120"/>
      </w:pPr>
      <w:r>
        <w:t xml:space="preserve">• Net debt to adjusted EBITDA improved to 2.0x target, with $2 billion in debt reduction</w:t>
      </w:r>
    </w:p>
    <w:p>
      <w:pPr>
        <w:spacing w:before="240" w:after="120"/>
      </w:pPr>
      <w:r>
        <w:rPr>
          <w:b/>
          <w:bCs/>
          <w:sz w:val="24"/>
          <w:szCs w:val="24"/>
        </w:rPr>
        <w:t xml:space="preserve">Segment Performance</w:t>
      </w:r>
    </w:p>
    <w:p>
      <w:pPr>
        <w:spacing w:after="120"/>
      </w:pPr>
      <w:r>
        <w:rPr>
          <w:b/>
          <w:bCs/>
        </w:rPr>
        <w:t xml:space="preserve">Diversified Industrial Segment (73% of revenue):</w:t>
      </w:r>
    </w:p>
    <w:p>
      <w:pPr>
        <w:spacing w:after="80"/>
      </w:pPr>
      <w:r>
        <w:t xml:space="preserve">• Sales of $14.5 billion, down 1.7% organically due to industrial market softness</w:t>
      </w:r>
    </w:p>
    <w:p>
      <w:pPr>
        <w:spacing w:after="80"/>
      </w:pPr>
      <w:r>
        <w:t xml:space="preserve">• Operating margin improved to 22.0% from 20.9%, driven by price realization and operational efficiencies</w:t>
      </w:r>
    </w:p>
    <w:p>
      <w:pPr>
        <w:spacing w:after="120"/>
      </w:pPr>
      <w:r>
        <w:t xml:space="preserve">• North America businesses showed resilience with 22.3% margins; International businesses maintained 21.4% margins</w:t>
      </w:r>
    </w:p>
    <w:p>
      <w:pPr>
        <w:spacing w:after="120"/>
      </w:pPr>
      <w:r>
        <w:rPr>
          <w:b/>
          <w:bCs/>
        </w:rPr>
        <w:t xml:space="preserve">Aerospace Systems Segment (27% of revenue):</w:t>
      </w:r>
    </w:p>
    <w:p>
      <w:pPr>
        <w:spacing w:after="80"/>
      </w:pPr>
      <w:r>
        <w:t xml:space="preserve">• Record sales of $5.5 billion, up 25.5% with 17% organic growth</w:t>
      </w:r>
    </w:p>
    <w:p>
      <w:pPr>
        <w:spacing w:after="80"/>
      </w:pPr>
      <w:r>
        <w:t xml:space="preserve">• Operating margin expanded dramatically to 20.3% from 12.9%</w:t>
      </w:r>
    </w:p>
    <w:p>
      <w:pPr>
        <w:spacing w:after="120"/>
      </w:pPr>
      <w:r>
        <w:t xml:space="preserve">• Strong performance across commercial aftermarket, OEM platforms, and defense programs</w:t>
      </w:r>
    </w:p>
    <w:p>
      <w:pPr>
        <w:spacing w:before="240" w:after="120"/>
      </w:pPr>
      <w:r>
        <w:rPr>
          <w:b/>
          <w:bCs/>
          <w:sz w:val="24"/>
          <w:szCs w:val="24"/>
        </w:rPr>
        <w:t xml:space="preserve">Strategic Secular Growth Drivers</w:t>
      </w:r>
    </w:p>
    <w:p>
      <w:pPr>
        <w:spacing w:after="120"/>
      </w:pPr>
      <w:r>
        <w:rPr>
          <w:b/>
          <w:bCs/>
        </w:rPr>
        <w:t xml:space="preserve">1. Aerospace &amp; Defense Expansion:</w:t>
      </w:r>
      <w:r>
        <w:t xml:space="preserve"> Commercial air travel recovery to pre-COVID levels drives aircraft deliveries and aftermarket demand. Increased global defense spending supports long-term growth. Parker is positioned on nearly all major platforms with content valued at 1.5-2x for more-electric aircraft applications.</w:t>
      </w:r>
    </w:p>
    <w:p>
      <w:pPr>
        <w:spacing w:after="120"/>
      </w:pPr>
      <w:r>
        <w:rPr>
          <w:b/>
          <w:bCs/>
        </w:rPr>
        <w:t xml:space="preserve">2. Industrial Digitalization &amp; CapEx Wave:</w:t>
      </w:r>
      <w:r>
        <w:t xml:space="preserve"> Global investments in factory automation, semiconductor manufacturing, clean energy infrastructure, and supply chain near-shoring create sustained demand. Parker's technologies are critical for semiconductor fabrication, lithium extraction, 5G infrastructure, and data center cooling.</w:t>
      </w:r>
    </w:p>
    <w:p>
      <w:pPr>
        <w:spacing w:after="120"/>
      </w:pPr>
      <w:r>
        <w:rPr>
          <w:b/>
          <w:bCs/>
        </w:rPr>
        <w:t xml:space="preserve">3. Clean Technology &amp; Electrification:</w:t>
      </w:r>
      <w:r>
        <w:t xml:space="preserve"> Two-thirds of Parker's product portfolio enables clean technology solutions. Electrification trends in transportation and off-highway equipment increase Parker's bill-of-materials by 1.5-2x versus traditional combustion engines. Strong positioning in hydrogen, alternative fuels, and battery systems.</w:t>
      </w:r>
    </w:p>
    <w:p>
      <w:pPr>
        <w:spacing w:before="240" w:after="120"/>
      </w:pPr>
      <w:r>
        <w:rPr>
          <w:b/>
          <w:bCs/>
          <w:sz w:val="24"/>
          <w:szCs w:val="24"/>
        </w:rPr>
        <w:t xml:space="preserve">The Win Strategy™ Business System</w:t>
      </w:r>
    </w:p>
    <w:p>
      <w:pPr>
        <w:spacing w:after="120"/>
      </w:pPr>
      <w:r>
        <w:t xml:space="preserve">Parker's operational excellence framework, The Win Strategy 3.0, drives continuous improvement through four goals: Engaged People, Customer Experience, Profitable Growth, and Financial Performance. Over 89% of team members participate in High Performance Teams (HPTs) that apply lean principles, Kaizen events, and problem-solving methodologies. This system has delivered 630 basis points of adjusted segment operating margin expansion over five years while maintaining a top-quartile safety record with a 45% reduction in recordable incident rates.</w:t>
      </w:r>
    </w:p>
    <w:p>
      <w:pPr>
        <w:spacing w:before="240" w:after="120"/>
      </w:pPr>
      <w:r>
        <w:rPr>
          <w:b/>
          <w:bCs/>
          <w:sz w:val="24"/>
          <w:szCs w:val="24"/>
        </w:rPr>
        <w:t xml:space="preserve">FY2029 Financial Targets (Announced May 2024)</w:t>
      </w:r>
    </w:p>
    <w:p>
      <w:pPr>
        <w:spacing w:after="80"/>
      </w:pPr>
      <w:r>
        <w:t xml:space="preserve">• Organic sales growth: 4-6% CAGR</w:t>
      </w:r>
    </w:p>
    <w:p>
      <w:pPr>
        <w:spacing w:after="80"/>
      </w:pPr>
      <w:r>
        <w:t xml:space="preserve">• Adjusted segment operating margin: 27% (+200 bps from previous target)</w:t>
      </w:r>
    </w:p>
    <w:p>
      <w:pPr>
        <w:spacing w:after="80"/>
      </w:pPr>
      <w:r>
        <w:t xml:space="preserve">• Adjusted EBITDA margin: 28% (+300 bps from previous target)</w:t>
      </w:r>
    </w:p>
    <w:p>
      <w:pPr>
        <w:spacing w:after="80"/>
      </w:pPr>
      <w:r>
        <w:t xml:space="preserve">• Free cash flow margin: 17% (+100 bps from previous target)</w:t>
      </w:r>
    </w:p>
    <w:p>
      <w:pPr>
        <w:spacing w:after="120"/>
      </w:pPr>
      <w:r>
        <w:t xml:space="preserve">• Adjusted EPS growth: 10%+ CAGR</w:t>
      </w:r>
    </w:p>
    <w:p>
      <w:pPr>
        <w:spacing w:after="120"/>
      </w:pPr>
      <w:r>
        <w:t xml:space="preserve">These targets represent $35 billion in cumulative potential capital deployment through FY2029, enabling continued dividend growth, strategic acquisitions, and shareholder returns.</w:t>
      </w:r>
    </w:p>
    <w:p>
      <w:pPr>
        <w:spacing w:before="240" w:after="120"/>
      </w:pPr>
      <w:r>
        <w:rPr>
          <w:b/>
          <w:bCs/>
          <w:sz w:val="24"/>
          <w:szCs w:val="24"/>
        </w:rPr>
        <w:t xml:space="preserve">Key Investment Thesis</w:t>
      </w:r>
    </w:p>
    <w:p>
      <w:pPr>
        <w:spacing w:after="120"/>
      </w:pPr>
      <w:r>
        <w:t xml:space="preserve">Parker-Hannifin has transformed into a best-in-class industrial with a balanced, resilient portfolio weighted toward longer-cycle, higher-growth markets. The company's unique systems integration capabilities, proven operational excellence, and exposure to multiple secular growth trends position it for sustained margin expansion and cash generation. Management's track record of executing on ambitious targets, combined with disciplined capital deployment and a fortress balance sheet (2.0x leverage), provides confidence in achieving FY2029 objectives. The completion of Meggitt integration ahead of schedule demonstrates execution capabilities, while the aerospace aftermarket exposure provides a durable earnings stream with significant upside as commercial aviation continues recovery.</w:t>
      </w:r>
    </w:p>
    <w:p>
      <w:pPr>
        <w:spacing w:before="240" w:after="120"/>
      </w:pPr>
      <w:r>
        <w:rPr>
          <w:b/>
          <w:bCs/>
          <w:sz w:val="24"/>
          <w:szCs w:val="24"/>
        </w:rPr>
        <w:t xml:space="preserve">Key Risks</w:t>
      </w:r>
    </w:p>
    <w:p>
      <w:pPr>
        <w:spacing w:after="80"/>
      </w:pPr>
      <w:r>
        <w:t xml:space="preserve">• Industrial market cyclicality and extended softness in short-cycle businesses</w:t>
      </w:r>
    </w:p>
    <w:p>
      <w:pPr>
        <w:spacing w:after="80"/>
      </w:pPr>
      <w:r>
        <w:t xml:space="preserve">• Commercial aerospace supply chain disruptions impacting OEM production rates</w:t>
      </w:r>
    </w:p>
    <w:p>
      <w:pPr>
        <w:spacing w:after="80"/>
      </w:pPr>
      <w:r>
        <w:t xml:space="preserve">• Raw material and freight cost inflation pressures on margins</w:t>
      </w:r>
    </w:p>
    <w:p>
      <w:pPr>
        <w:spacing w:after="80"/>
      </w:pPr>
      <w:r>
        <w:t xml:space="preserve">• Foreign currency headwinds given 36% non-U.S. sales exposure</w:t>
      </w:r>
    </w:p>
    <w:p>
      <w:pPr>
        <w:spacing w:after="80"/>
      </w:pPr>
      <w:r>
        <w:t xml:space="preserve">• Execution risks on achieving aggressive FY2029 margin targets</w:t>
      </w:r>
    </w:p>
    <w:p>
      <w:pPr>
        <w:spacing w:after="120"/>
      </w:pPr>
      <w:r>
        <w:t xml:space="preserve">• Geopolitical tensions impacting China operations and global supply chains</w:t>
      </w:r>
    </w:p>
    <w:p>
      <w:pPr>
        <w:spacing w:before="240" w:after="120"/>
      </w:pPr>
      <w:r>
        <w:rPr>
          <w:b/>
          <w:bCs/>
          <w:sz w:val="24"/>
          <w:szCs w:val="24"/>
        </w:rPr>
        <w:t xml:space="preserve">Conclusion</w:t>
      </w:r>
    </w:p>
    <w:p>
      <w:r>
        <w:t xml:space="preserve">Parker-Hannifin represents a compelling industrial growth story underpinned by portfolio transformation, operational excellence, and exposure to favorable secular trends. The FY2024 results validate the company's strategy, with record margins, cash generation, and successful Meggitt integration. As aerospace continues its multi-year recovery and industrial markets stabilize, Parker is well-positioned to deliver on its ambitious five-year targets while returning significant capital to shareholders.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2025-12-05T21:41:32.809Z</dcterms:created>
  <dcterms:modified xsi:type="dcterms:W3CDTF">2025-12-05T21:41:32.810Z</dcterms:modified>
</cp:coreProperties>
</file>

<file path=docProps/custom.xml><?xml version="1.0" encoding="utf-8"?>
<Properties xmlns="http://schemas.openxmlformats.org/officeDocument/2006/custom-properties" xmlns:vt="http://schemas.openxmlformats.org/officeDocument/2006/docPropsVTypes"/>
</file>