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2. Financial Snapshot</w:t>
      </w:r>
    </w:p>
    <w:p>
      <w:pPr>
        <w:spacing w:before="120" w:after="120"/>
      </w:pPr>
      <w:r>
        <w:rPr>
          <w:b/>
          <w:bCs/>
        </w:rPr>
        <w:t xml:space="preserve">Data Source: </w:t>
      </w:r>
      <w:r>
        <w:t xml:space="preserve">Parker-Hannifin 10-K FY2024 (filed August 22, 2024), FY2024 Q4 earnings release, investor presentations</w:t>
      </w:r>
    </w:p>
    <w:p>
      <w:pPr>
        <w:spacing w:after="120"/>
      </w:pPr>
      <w:r>
        <w:rPr>
          <w:b/>
          <w:bCs/>
        </w:rPr>
        <w:t xml:space="preserve">Currency: </w:t>
      </w:r>
      <w:r>
        <w:t xml:space="preserve">All figures in USD millions unless otherwise noted</w:t>
      </w:r>
    </w:p>
    <w:p>
      <w:pPr>
        <w:spacing w:after="240"/>
      </w:pPr>
      <w:r>
        <w:rPr>
          <w:b/>
          <w:bCs/>
        </w:rPr>
        <w:t xml:space="preserve">Reporting Period: </w:t>
      </w:r>
      <w:r>
        <w:t xml:space="preserve">Fiscal Year Ended June 30, 2024 (FY2024)</w:t>
      </w:r>
    </w:p>
    <w:p>
      <w:pPr>
        <w:pStyle w:val="Heading2"/>
      </w:pPr>
      <w:r>
        <w:t xml:space="preserve">2.1 Income Statement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1870"/>
        <w:gridCol w:w="1870"/>
        <w:gridCol w:w="187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Metric</w:t>
            </w:r>
          </w:p>
        </w:tc>
        <w:tc>
          <w:tcPr>
            <w:tcW w:type="dxa" w:w="187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FY2024</w:t>
            </w:r>
          </w:p>
        </w:tc>
        <w:tc>
          <w:tcPr>
            <w:tcW w:type="dxa" w:w="187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FY2023</w:t>
            </w:r>
          </w:p>
        </w:tc>
        <w:tc>
          <w:tcPr>
            <w:tcW w:type="dxa" w:w="187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YoY Change</w:t>
            </w:r>
          </w:p>
        </w:tc>
      </w:tr>
      <w:tr>
        <w:tc>
          <w:tcPr>
            <w:tcW w:type="dxa" w:w="3120"/>
            <w:tcBorders>
              <w:top w:val="single" w:color="CCCCCC" w:sz="1"/>
              <w:left w:val="single" w:color="CCCCCC" w:sz="1"/>
              <w:bottom w:val="single" w:color="CCCCCC" w:sz="1"/>
              <w:right w:val="single" w:color="CCCCCC" w:sz="1"/>
            </w:tcBorders>
          </w:tcPr>
          <w:p>
            <w:r>
              <w:rPr>
                <w:b/>
                <w:bCs/>
              </w:rPr>
              <w:t xml:space="preserve">Net Sales</w:t>
            </w:r>
          </w:p>
        </w:tc>
        <w:tc>
          <w:tcPr>
            <w:tcW w:type="dxa" w:w="1870"/>
            <w:tcBorders>
              <w:top w:val="single" w:color="CCCCCC" w:sz="1"/>
              <w:left w:val="single" w:color="CCCCCC" w:sz="1"/>
              <w:bottom w:val="single" w:color="CCCCCC" w:sz="1"/>
              <w:right w:val="single" w:color="CCCCCC" w:sz="1"/>
            </w:tcBorders>
          </w:tcPr>
          <w:p>
            <w:pPr>
              <w:jc w:val="right"/>
            </w:pPr>
            <w:r>
              <w:t xml:space="preserve">$19,930</w:t>
            </w:r>
          </w:p>
        </w:tc>
        <w:tc>
          <w:tcPr>
            <w:tcW w:type="dxa" w:w="1870"/>
            <w:tcBorders>
              <w:top w:val="single" w:color="CCCCCC" w:sz="1"/>
              <w:left w:val="single" w:color="CCCCCC" w:sz="1"/>
              <w:bottom w:val="single" w:color="CCCCCC" w:sz="1"/>
              <w:right w:val="single" w:color="CCCCCC" w:sz="1"/>
            </w:tcBorders>
          </w:tcPr>
          <w:p>
            <w:pPr>
              <w:jc w:val="right"/>
            </w:pPr>
            <w:r>
              <w:t xml:space="preserve">$19,065</w:t>
            </w:r>
          </w:p>
        </w:tc>
        <w:tc>
          <w:tcPr>
            <w:tcW w:type="dxa" w:w="1870"/>
            <w:tcBorders>
              <w:top w:val="single" w:color="CCCCCC" w:sz="1"/>
              <w:left w:val="single" w:color="CCCCCC" w:sz="1"/>
              <w:bottom w:val="single" w:color="CCCCCC" w:sz="1"/>
              <w:right w:val="single" w:color="CCCCCC" w:sz="1"/>
            </w:tcBorders>
          </w:tcPr>
          <w:p>
            <w:pPr>
              <w:jc w:val="right"/>
            </w:pPr>
            <w:r>
              <w:t xml:space="preserve">+4.5%</w:t>
            </w:r>
          </w:p>
        </w:tc>
      </w:tr>
      <w:tr>
        <w:tc>
          <w:tcPr>
            <w:tcW w:type="dxa" w:w="3120"/>
            <w:tcBorders>
              <w:top w:val="single" w:color="CCCCCC" w:sz="1"/>
              <w:left w:val="single" w:color="CCCCCC" w:sz="1"/>
              <w:bottom w:val="single" w:color="CCCCCC" w:sz="1"/>
              <w:right w:val="single" w:color="CCCCCC" w:sz="1"/>
            </w:tcBorders>
          </w:tcPr>
          <w:p>
            <w:r>
              <w:t xml:space="preserve">Gross Profit</w:t>
            </w:r>
          </w:p>
        </w:tc>
        <w:tc>
          <w:tcPr>
            <w:tcW w:type="dxa" w:w="1870"/>
            <w:tcBorders>
              <w:top w:val="single" w:color="CCCCCC" w:sz="1"/>
              <w:left w:val="single" w:color="CCCCCC" w:sz="1"/>
              <w:bottom w:val="single" w:color="CCCCCC" w:sz="1"/>
              <w:right w:val="single" w:color="CCCCCC" w:sz="1"/>
            </w:tcBorders>
          </w:tcPr>
          <w:p>
            <w:pPr>
              <w:jc w:val="right"/>
            </w:pPr>
            <w:r>
              <w:t xml:space="preserve">$7,128</w:t>
            </w:r>
          </w:p>
        </w:tc>
        <w:tc>
          <w:tcPr>
            <w:tcW w:type="dxa" w:w="1870"/>
            <w:tcBorders>
              <w:top w:val="single" w:color="CCCCCC" w:sz="1"/>
              <w:left w:val="single" w:color="CCCCCC" w:sz="1"/>
              <w:bottom w:val="single" w:color="CCCCCC" w:sz="1"/>
              <w:right w:val="single" w:color="CCCCCC" w:sz="1"/>
            </w:tcBorders>
          </w:tcPr>
          <w:p>
            <w:pPr>
              <w:jc w:val="right"/>
            </w:pPr>
            <w:r>
              <w:t xml:space="preserve">$6,422</w:t>
            </w:r>
          </w:p>
        </w:tc>
        <w:tc>
          <w:tcPr>
            <w:tcW w:type="dxa" w:w="1870"/>
            <w:tcBorders>
              <w:top w:val="single" w:color="CCCCCC" w:sz="1"/>
              <w:left w:val="single" w:color="CCCCCC" w:sz="1"/>
              <w:bottom w:val="single" w:color="CCCCCC" w:sz="1"/>
              <w:right w:val="single" w:color="CCCCCC" w:sz="1"/>
            </w:tcBorders>
          </w:tcPr>
          <w:p>
            <w:pPr>
              <w:jc w:val="right"/>
            </w:pPr>
            <w:r>
              <w:t xml:space="preserve">+11.0%</w:t>
            </w:r>
          </w:p>
        </w:tc>
      </w:tr>
      <w:tr>
        <w:tc>
          <w:tcPr>
            <w:tcW w:type="dxa" w:w="3120"/>
            <w:tcBorders>
              <w:top w:val="single" w:color="CCCCCC" w:sz="1"/>
              <w:left w:val="single" w:color="CCCCCC" w:sz="1"/>
              <w:bottom w:val="single" w:color="CCCCCC" w:sz="1"/>
              <w:right w:val="single" w:color="CCCCCC" w:sz="1"/>
            </w:tcBorders>
          </w:tcPr>
          <w:p>
            <w:r>
              <w:t xml:space="preserve">Gross Profit Margin</w:t>
            </w:r>
          </w:p>
        </w:tc>
        <w:tc>
          <w:tcPr>
            <w:tcW w:type="dxa" w:w="1870"/>
            <w:tcBorders>
              <w:top w:val="single" w:color="CCCCCC" w:sz="1"/>
              <w:left w:val="single" w:color="CCCCCC" w:sz="1"/>
              <w:bottom w:val="single" w:color="CCCCCC" w:sz="1"/>
              <w:right w:val="single" w:color="CCCCCC" w:sz="1"/>
            </w:tcBorders>
          </w:tcPr>
          <w:p>
            <w:pPr>
              <w:jc w:val="right"/>
            </w:pPr>
            <w:r>
              <w:t xml:space="preserve">35.8%</w:t>
            </w:r>
          </w:p>
        </w:tc>
        <w:tc>
          <w:tcPr>
            <w:tcW w:type="dxa" w:w="1870"/>
            <w:tcBorders>
              <w:top w:val="single" w:color="CCCCCC" w:sz="1"/>
              <w:left w:val="single" w:color="CCCCCC" w:sz="1"/>
              <w:bottom w:val="single" w:color="CCCCCC" w:sz="1"/>
              <w:right w:val="single" w:color="CCCCCC" w:sz="1"/>
            </w:tcBorders>
          </w:tcPr>
          <w:p>
            <w:pPr>
              <w:jc w:val="right"/>
            </w:pPr>
            <w:r>
              <w:t xml:space="preserve">33.7%</w:t>
            </w:r>
          </w:p>
        </w:tc>
        <w:tc>
          <w:tcPr>
            <w:tcW w:type="dxa" w:w="1870"/>
            <w:tcBorders>
              <w:top w:val="single" w:color="CCCCCC" w:sz="1"/>
              <w:left w:val="single" w:color="CCCCCC" w:sz="1"/>
              <w:bottom w:val="single" w:color="CCCCCC" w:sz="1"/>
              <w:right w:val="single" w:color="CCCCCC" w:sz="1"/>
            </w:tcBorders>
          </w:tcPr>
          <w:p>
            <w:pPr>
              <w:jc w:val="right"/>
            </w:pPr>
            <w:r>
              <w:t xml:space="preserve">+210 bps</w:t>
            </w:r>
          </w:p>
        </w:tc>
      </w:tr>
      <w:tr>
        <w:tc>
          <w:tcPr>
            <w:tcW w:type="dxa" w:w="3120"/>
            <w:tcBorders>
              <w:top w:val="single" w:color="CCCCCC" w:sz="1"/>
              <w:left w:val="single" w:color="CCCCCC" w:sz="1"/>
              <w:bottom w:val="single" w:color="CCCCCC" w:sz="1"/>
              <w:right w:val="single" w:color="CCCCCC" w:sz="1"/>
            </w:tcBorders>
          </w:tcPr>
          <w:p>
            <w:r>
              <w:t xml:space="preserve">Operating Income (Reported)</w:t>
            </w:r>
          </w:p>
        </w:tc>
        <w:tc>
          <w:tcPr>
            <w:tcW w:type="dxa" w:w="1870"/>
            <w:tcBorders>
              <w:top w:val="single" w:color="CCCCCC" w:sz="1"/>
              <w:left w:val="single" w:color="CCCCCC" w:sz="1"/>
              <w:bottom w:val="single" w:color="CCCCCC" w:sz="1"/>
              <w:right w:val="single" w:color="CCCCCC" w:sz="1"/>
            </w:tcBorders>
          </w:tcPr>
          <w:p>
            <w:pPr>
              <w:jc w:val="right"/>
            </w:pPr>
            <w:r>
              <w:t xml:space="preserve">$3,069</w:t>
            </w:r>
          </w:p>
        </w:tc>
        <w:tc>
          <w:tcPr>
            <w:tcW w:type="dxa" w:w="1870"/>
            <w:tcBorders>
              <w:top w:val="single" w:color="CCCCCC" w:sz="1"/>
              <w:left w:val="single" w:color="CCCCCC" w:sz="1"/>
              <w:bottom w:val="single" w:color="CCCCCC" w:sz="1"/>
              <w:right w:val="single" w:color="CCCCCC" w:sz="1"/>
            </w:tcBorders>
          </w:tcPr>
          <w:p>
            <w:pPr>
              <w:jc w:val="right"/>
            </w:pPr>
            <w:r>
              <w:t xml:space="preserve">$2,482</w:t>
            </w:r>
          </w:p>
        </w:tc>
        <w:tc>
          <w:tcPr>
            <w:tcW w:type="dxa" w:w="1870"/>
            <w:tcBorders>
              <w:top w:val="single" w:color="CCCCCC" w:sz="1"/>
              <w:left w:val="single" w:color="CCCCCC" w:sz="1"/>
              <w:bottom w:val="single" w:color="CCCCCC" w:sz="1"/>
              <w:right w:val="single" w:color="CCCCCC" w:sz="1"/>
            </w:tcBorders>
          </w:tcPr>
          <w:p>
            <w:pPr>
              <w:jc w:val="right"/>
            </w:pPr>
            <w:r>
              <w:t xml:space="preserve">+23.6%</w:t>
            </w:r>
          </w:p>
        </w:tc>
      </w:tr>
      <w:tr>
        <w:tc>
          <w:tcPr>
            <w:tcW w:type="dxa" w:w="3120"/>
            <w:tcBorders>
              <w:top w:val="single" w:color="CCCCCC" w:sz="1"/>
              <w:left w:val="single" w:color="CCCCCC" w:sz="1"/>
              <w:bottom w:val="single" w:color="CCCCCC" w:sz="1"/>
              <w:right w:val="single" w:color="CCCCCC" w:sz="1"/>
            </w:tcBorders>
          </w:tcPr>
          <w:p>
            <w:r>
              <w:rPr>
                <w:b/>
                <w:bCs/>
              </w:rPr>
              <w:t xml:space="preserve">Segment Operating Margin (Reported)</w:t>
            </w:r>
          </w:p>
        </w:tc>
        <w:tc>
          <w:tcPr>
            <w:tcW w:type="dxa" w:w="1870"/>
            <w:tcBorders>
              <w:top w:val="single" w:color="CCCCCC" w:sz="1"/>
              <w:left w:val="single" w:color="CCCCCC" w:sz="1"/>
              <w:bottom w:val="single" w:color="CCCCCC" w:sz="1"/>
              <w:right w:val="single" w:color="CCCCCC" w:sz="1"/>
            </w:tcBorders>
          </w:tcPr>
          <w:p>
            <w:pPr>
              <w:jc w:val="right"/>
            </w:pPr>
            <w:r>
              <w:rPr>
                <w:b/>
                <w:bCs/>
              </w:rPr>
              <w:t xml:space="preserve">21.5%</w:t>
            </w:r>
          </w:p>
        </w:tc>
        <w:tc>
          <w:tcPr>
            <w:tcW w:type="dxa" w:w="1870"/>
            <w:tcBorders>
              <w:top w:val="single" w:color="CCCCCC" w:sz="1"/>
              <w:left w:val="single" w:color="CCCCCC" w:sz="1"/>
              <w:bottom w:val="single" w:color="CCCCCC" w:sz="1"/>
              <w:right w:val="single" w:color="CCCCCC" w:sz="1"/>
            </w:tcBorders>
          </w:tcPr>
          <w:p>
            <w:pPr>
              <w:jc w:val="right"/>
            </w:pPr>
            <w:r>
              <w:t xml:space="preserve">18.7%</w:t>
            </w:r>
          </w:p>
        </w:tc>
        <w:tc>
          <w:tcPr>
            <w:tcW w:type="dxa" w:w="1870"/>
            <w:tcBorders>
              <w:top w:val="single" w:color="CCCCCC" w:sz="1"/>
              <w:left w:val="single" w:color="CCCCCC" w:sz="1"/>
              <w:bottom w:val="single" w:color="CCCCCC" w:sz="1"/>
              <w:right w:val="single" w:color="CCCCCC" w:sz="1"/>
            </w:tcBorders>
          </w:tcPr>
          <w:p>
            <w:pPr>
              <w:jc w:val="right"/>
            </w:pPr>
            <w:r>
              <w:rPr>
                <w:b/>
                <w:bCs/>
              </w:rPr>
              <w:t xml:space="preserve">+280 bps</w:t>
            </w:r>
          </w:p>
        </w:tc>
      </w:tr>
      <w:tr>
        <w:tc>
          <w:tcPr>
            <w:tcW w:type="dxa" w:w="3120"/>
            <w:tcBorders>
              <w:top w:val="single" w:color="CCCCCC" w:sz="1"/>
              <w:left w:val="single" w:color="CCCCCC" w:sz="1"/>
              <w:bottom w:val="single" w:color="CCCCCC" w:sz="1"/>
              <w:right w:val="single" w:color="CCCCCC" w:sz="1"/>
            </w:tcBorders>
          </w:tcPr>
          <w:p>
            <w:r>
              <w:rPr>
                <w:b/>
                <w:bCs/>
              </w:rPr>
              <w:t xml:space="preserve">Adj. Segment Operating Margin</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24.9%</w:t>
            </w:r>
          </w:p>
        </w:tc>
        <w:tc>
          <w:tcPr>
            <w:tcW w:type="dxa" w:w="1870"/>
            <w:tcBorders>
              <w:top w:val="single" w:color="CCCCCC" w:sz="1"/>
              <w:left w:val="single" w:color="CCCCCC" w:sz="1"/>
              <w:bottom w:val="single" w:color="CCCCCC" w:sz="1"/>
              <w:right w:val="single" w:color="CCCCCC" w:sz="1"/>
            </w:tcBorders>
          </w:tcPr>
          <w:p>
            <w:pPr>
              <w:jc w:val="right"/>
            </w:pPr>
            <w:r>
              <w:t xml:space="preserve">22.9%</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+200 bps</w:t>
            </w:r>
          </w:p>
        </w:tc>
      </w:tr>
      <w:tr>
        <w:tc>
          <w:tcPr>
            <w:tcW w:type="dxa" w:w="3120"/>
            <w:tcBorders>
              <w:top w:val="single" w:color="CCCCCC" w:sz="1"/>
              <w:left w:val="single" w:color="CCCCCC" w:sz="1"/>
              <w:bottom w:val="single" w:color="CCCCCC" w:sz="1"/>
              <w:right w:val="single" w:color="CCCCCC" w:sz="1"/>
            </w:tcBorders>
          </w:tcPr>
          <w:p>
            <w:r>
              <w:t xml:space="preserve">EBITDA Margin (Reported)</w:t>
            </w:r>
          </w:p>
        </w:tc>
        <w:tc>
          <w:tcPr>
            <w:tcW w:type="dxa" w:w="1870"/>
            <w:tcBorders>
              <w:top w:val="single" w:color="CCCCCC" w:sz="1"/>
              <w:left w:val="single" w:color="CCCCCC" w:sz="1"/>
              <w:bottom w:val="single" w:color="CCCCCC" w:sz="1"/>
              <w:right w:val="single" w:color="CCCCCC" w:sz="1"/>
            </w:tcBorders>
          </w:tcPr>
          <w:p>
            <w:pPr>
              <w:jc w:val="right"/>
            </w:pPr>
            <w:r>
              <w:t xml:space="preserve">25.2%</w:t>
            </w:r>
          </w:p>
        </w:tc>
        <w:tc>
          <w:tcPr>
            <w:tcW w:type="dxa" w:w="1870"/>
            <w:tcBorders>
              <w:top w:val="single" w:color="CCCCCC" w:sz="1"/>
              <w:left w:val="single" w:color="CCCCCC" w:sz="1"/>
              <w:bottom w:val="single" w:color="CCCCCC" w:sz="1"/>
              <w:right w:val="single" w:color="CCCCCC" w:sz="1"/>
            </w:tcBorders>
          </w:tcPr>
          <w:p>
            <w:pPr>
              <w:jc w:val="right"/>
            </w:pPr>
            <w:r>
              <w:t xml:space="preserve">23.0%</w:t>
            </w:r>
          </w:p>
        </w:tc>
        <w:tc>
          <w:tcPr>
            <w:tcW w:type="dxa" w:w="1870"/>
            <w:tcBorders>
              <w:top w:val="single" w:color="CCCCCC" w:sz="1"/>
              <w:left w:val="single" w:color="CCCCCC" w:sz="1"/>
              <w:bottom w:val="single" w:color="CCCCCC" w:sz="1"/>
              <w:right w:val="single" w:color="CCCCCC" w:sz="1"/>
            </w:tcBorders>
          </w:tcPr>
          <w:p>
            <w:pPr>
              <w:jc w:val="right"/>
            </w:pPr>
            <w:r>
              <w:t xml:space="preserve">+220 bps</w:t>
            </w:r>
          </w:p>
        </w:tc>
      </w:tr>
      <w:tr>
        <w:tc>
          <w:tcPr>
            <w:tcW w:type="dxa" w:w="3120"/>
            <w:tcBorders>
              <w:top w:val="single" w:color="CCCCCC" w:sz="1"/>
              <w:left w:val="single" w:color="CCCCCC" w:sz="1"/>
              <w:bottom w:val="single" w:color="CCCCCC" w:sz="1"/>
              <w:right w:val="single" w:color="CCCCCC" w:sz="1"/>
            </w:tcBorders>
          </w:tcPr>
          <w:p>
            <w:r>
              <w:t xml:space="preserve">Adj. EBITDA Margin</w:t>
            </w:r>
          </w:p>
        </w:tc>
        <w:tc>
          <w:tcPr>
            <w:tcW w:type="dxa" w:w="1870"/>
            <w:tcBorders>
              <w:top w:val="single" w:color="CCCCCC" w:sz="1"/>
              <w:left w:val="single" w:color="CCCCCC" w:sz="1"/>
              <w:bottom w:val="single" w:color="CCCCCC" w:sz="1"/>
              <w:right w:val="single" w:color="CCCCCC" w:sz="1"/>
            </w:tcBorders>
          </w:tcPr>
          <w:p>
            <w:pPr>
              <w:jc w:val="right"/>
            </w:pPr>
            <w:r>
              <w:t xml:space="preserve">25.6%</w:t>
            </w:r>
          </w:p>
        </w:tc>
        <w:tc>
          <w:tcPr>
            <w:tcW w:type="dxa" w:w="1870"/>
            <w:tcBorders>
              <w:top w:val="single" w:color="CCCCCC" w:sz="1"/>
              <w:left w:val="single" w:color="CCCCCC" w:sz="1"/>
              <w:bottom w:val="single" w:color="CCCCCC" w:sz="1"/>
              <w:right w:val="single" w:color="CCCCCC" w:sz="1"/>
            </w:tcBorders>
          </w:tcPr>
          <w:p>
            <w:pPr>
              <w:jc w:val="right"/>
            </w:pPr>
            <w:r>
              <w:t xml:space="preserve">23.6%</w:t>
            </w:r>
          </w:p>
        </w:tc>
        <w:tc>
          <w:tcPr>
            <w:tcW w:type="dxa" w:w="1870"/>
            <w:tcBorders>
              <w:top w:val="single" w:color="CCCCCC" w:sz="1"/>
              <w:left w:val="single" w:color="CCCCCC" w:sz="1"/>
              <w:bottom w:val="single" w:color="CCCCCC" w:sz="1"/>
              <w:right w:val="single" w:color="CCCCCC" w:sz="1"/>
            </w:tcBorders>
          </w:tcPr>
          <w:p>
            <w:pPr>
              <w:jc w:val="right"/>
            </w:pPr>
            <w:r>
              <w:t xml:space="preserve">+200 bps</w:t>
            </w:r>
          </w:p>
        </w:tc>
      </w:tr>
      <w:tr>
        <w:tc>
          <w:tcPr>
            <w:tcW w:type="dxa" w:w="3120"/>
            <w:tcBorders>
              <w:top w:val="single" w:color="CCCCCC" w:sz="1"/>
              <w:left w:val="single" w:color="CCCCCC" w:sz="1"/>
              <w:bottom w:val="single" w:color="CCCCCC" w:sz="1"/>
              <w:right w:val="single" w:color="CCCCCC" w:sz="1"/>
            </w:tcBorders>
          </w:tcPr>
          <w:p>
            <w:r>
              <w:t xml:space="preserve">Net Income (Reported)</w:t>
            </w:r>
          </w:p>
        </w:tc>
        <w:tc>
          <w:tcPr>
            <w:tcW w:type="dxa" w:w="1870"/>
            <w:tcBorders>
              <w:top w:val="single" w:color="CCCCCC" w:sz="1"/>
              <w:left w:val="single" w:color="CCCCCC" w:sz="1"/>
              <w:bottom w:val="single" w:color="CCCCCC" w:sz="1"/>
              <w:right w:val="single" w:color="CCCCCC" w:sz="1"/>
            </w:tcBorders>
          </w:tcPr>
          <w:p>
            <w:pPr>
              <w:jc w:val="right"/>
            </w:pPr>
            <w:r>
              <w:t xml:space="preserve">$2,844</w:t>
            </w:r>
          </w:p>
        </w:tc>
        <w:tc>
          <w:tcPr>
            <w:tcW w:type="dxa" w:w="1870"/>
            <w:tcBorders>
              <w:top w:val="single" w:color="CCCCCC" w:sz="1"/>
              <w:left w:val="single" w:color="CCCCCC" w:sz="1"/>
              <w:bottom w:val="single" w:color="CCCCCC" w:sz="1"/>
              <w:right w:val="single" w:color="CCCCCC" w:sz="1"/>
            </w:tcBorders>
          </w:tcPr>
          <w:p>
            <w:pPr>
              <w:jc w:val="right"/>
            </w:pPr>
            <w:r>
              <w:t xml:space="preserve">$2,083</w:t>
            </w:r>
          </w:p>
        </w:tc>
        <w:tc>
          <w:tcPr>
            <w:tcW w:type="dxa" w:w="1870"/>
            <w:tcBorders>
              <w:top w:val="single" w:color="CCCCCC" w:sz="1"/>
              <w:left w:val="single" w:color="CCCCCC" w:sz="1"/>
              <w:bottom w:val="single" w:color="CCCCCC" w:sz="1"/>
              <w:right w:val="single" w:color="CCCCCC" w:sz="1"/>
            </w:tcBorders>
          </w:tcPr>
          <w:p>
            <w:pPr>
              <w:jc w:val="right"/>
            </w:pPr>
            <w:r>
              <w:t xml:space="preserve">+36.5%</w:t>
            </w:r>
          </w:p>
        </w:tc>
      </w:tr>
      <w:tr>
        <w:tc>
          <w:tcPr>
            <w:tcW w:type="dxa" w:w="3120"/>
            <w:tcBorders>
              <w:top w:val="single" w:color="CCCCCC" w:sz="1"/>
              <w:left w:val="single" w:color="CCCCCC" w:sz="1"/>
              <w:bottom w:val="single" w:color="CCCCCC" w:sz="1"/>
              <w:right w:val="single" w:color="CCCCCC" w:sz="1"/>
            </w:tcBorders>
          </w:tcPr>
          <w:p>
            <w:r>
              <w:t xml:space="preserve">Adjusted Net Income</w:t>
            </w:r>
          </w:p>
        </w:tc>
        <w:tc>
          <w:tcPr>
            <w:tcW w:type="dxa" w:w="1870"/>
            <w:tcBorders>
              <w:top w:val="single" w:color="CCCCCC" w:sz="1"/>
              <w:left w:val="single" w:color="CCCCCC" w:sz="1"/>
              <w:bottom w:val="single" w:color="CCCCCC" w:sz="1"/>
              <w:right w:val="single" w:color="CCCCCC" w:sz="1"/>
            </w:tcBorders>
          </w:tcPr>
          <w:p>
            <w:pPr>
              <w:jc w:val="right"/>
            </w:pPr>
            <w:r>
              <w:t xml:space="preserve">$3,320</w:t>
            </w:r>
          </w:p>
        </w:tc>
        <w:tc>
          <w:tcPr>
            <w:tcW w:type="dxa" w:w="1870"/>
            <w:tcBorders>
              <w:top w:val="single" w:color="CCCCCC" w:sz="1"/>
              <w:left w:val="single" w:color="CCCCCC" w:sz="1"/>
              <w:bottom w:val="single" w:color="CCCCCC" w:sz="1"/>
              <w:right w:val="single" w:color="CCCCCC" w:sz="1"/>
            </w:tcBorders>
          </w:tcPr>
          <w:p>
            <w:pPr>
              <w:jc w:val="right"/>
            </w:pPr>
            <w:r>
              <w:t xml:space="preserve">$2,809</w:t>
            </w:r>
          </w:p>
        </w:tc>
        <w:tc>
          <w:tcPr>
            <w:tcW w:type="dxa" w:w="1870"/>
            <w:tcBorders>
              <w:top w:val="single" w:color="CCCCCC" w:sz="1"/>
              <w:left w:val="single" w:color="CCCCCC" w:sz="1"/>
              <w:bottom w:val="single" w:color="CCCCCC" w:sz="1"/>
              <w:right w:val="single" w:color="CCCCCC" w:sz="1"/>
            </w:tcBorders>
          </w:tcPr>
          <w:p>
            <w:pPr>
              <w:jc w:val="right"/>
            </w:pPr>
            <w:r>
              <w:t xml:space="preserve">+18.2%</w:t>
            </w:r>
          </w:p>
        </w:tc>
      </w:tr>
      <w:tr>
        <w:tc>
          <w:tcPr>
            <w:tcW w:type="dxa" w:w="3120"/>
            <w:tcBorders>
              <w:top w:val="single" w:color="CCCCCC" w:sz="1"/>
              <w:left w:val="single" w:color="CCCCCC" w:sz="1"/>
              <w:bottom w:val="single" w:color="CCCCCC" w:sz="1"/>
              <w:right w:val="single" w:color="CCCCCC" w:sz="1"/>
            </w:tcBorders>
          </w:tcPr>
          <w:p>
            <w:r>
              <w:rPr>
                <w:b/>
                <w:bCs/>
              </w:rPr>
              <w:t xml:space="preserve">EPS (Reported)</w:t>
            </w:r>
          </w:p>
        </w:tc>
        <w:tc>
          <w:tcPr>
            <w:tcW w:type="dxa" w:w="1870"/>
            <w:tcBorders>
              <w:top w:val="single" w:color="CCCCCC" w:sz="1"/>
              <w:left w:val="single" w:color="CCCCCC" w:sz="1"/>
              <w:bottom w:val="single" w:color="CCCCCC" w:sz="1"/>
              <w:right w:val="single" w:color="CCCCCC" w:sz="1"/>
            </w:tcBorders>
          </w:tcPr>
          <w:p>
            <w:pPr>
              <w:jc w:val="right"/>
            </w:pPr>
            <w:r>
              <w:rPr>
                <w:b/>
                <w:bCs/>
              </w:rPr>
              <w:t xml:space="preserve">$21.84</w:t>
            </w:r>
          </w:p>
        </w:tc>
        <w:tc>
          <w:tcPr>
            <w:tcW w:type="dxa" w:w="1870"/>
            <w:tcBorders>
              <w:top w:val="single" w:color="CCCCCC" w:sz="1"/>
              <w:left w:val="single" w:color="CCCCCC" w:sz="1"/>
              <w:bottom w:val="single" w:color="CCCCCC" w:sz="1"/>
              <w:right w:val="single" w:color="CCCCCC" w:sz="1"/>
            </w:tcBorders>
          </w:tcPr>
          <w:p>
            <w:pPr>
              <w:jc w:val="right"/>
            </w:pPr>
            <w:r>
              <w:t xml:space="preserve">$16.04</w:t>
            </w:r>
          </w:p>
        </w:tc>
        <w:tc>
          <w:tcPr>
            <w:tcW w:type="dxa" w:w="1870"/>
            <w:tcBorders>
              <w:top w:val="single" w:color="CCCCCC" w:sz="1"/>
              <w:left w:val="single" w:color="CCCCCC" w:sz="1"/>
              <w:bottom w:val="single" w:color="CCCCCC" w:sz="1"/>
              <w:right w:val="single" w:color="CCCCCC" w:sz="1"/>
            </w:tcBorders>
          </w:tcPr>
          <w:p>
            <w:pPr>
              <w:jc w:val="right"/>
            </w:pPr>
            <w:r>
              <w:rPr>
                <w:b/>
                <w:bCs/>
              </w:rPr>
              <w:t xml:space="preserve">+36.2%</w:t>
            </w:r>
          </w:p>
        </w:tc>
      </w:tr>
      <w:tr>
        <w:tc>
          <w:tcPr>
            <w:tcW w:type="dxa" w:w="3120"/>
            <w:tcBorders>
              <w:top w:val="single" w:color="CCCCCC" w:sz="1"/>
              <w:left w:val="single" w:color="CCCCCC" w:sz="1"/>
              <w:bottom w:val="single" w:color="CCCCCC" w:sz="1"/>
              <w:right w:val="single" w:color="CCCCCC" w:sz="1"/>
            </w:tcBorders>
          </w:tcPr>
          <w:p>
            <w:r>
              <w:rPr>
                <w:b/>
                <w:bCs/>
              </w:rPr>
              <w:t xml:space="preserve">Adjusted EPS</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$25.44</w:t>
            </w:r>
          </w:p>
        </w:tc>
        <w:tc>
          <w:tcPr>
            <w:tcW w:type="dxa" w:w="1870"/>
            <w:tcBorders>
              <w:top w:val="single" w:color="CCCCCC" w:sz="1"/>
              <w:left w:val="single" w:color="CCCCCC" w:sz="1"/>
              <w:bottom w:val="single" w:color="CCCCCC" w:sz="1"/>
              <w:right w:val="single" w:color="CCCCCC" w:sz="1"/>
            </w:tcBorders>
          </w:tcPr>
          <w:p>
            <w:pPr>
              <w:jc w:val="right"/>
            </w:pPr>
            <w:r>
              <w:t xml:space="preserve">$21.62</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+17.7%</w:t>
            </w:r>
          </w:p>
        </w:tc>
      </w:tr>
    </w:tbl>
    <w:p>
      <w:pPr>
        <w:spacing w:before="180" w:after="120"/>
      </w:pPr>
      <w:r>
        <w:rPr>
          <w:b/>
          <w:bCs/>
          <w:i/>
          <w:iCs/>
        </w:rPr>
        <w:t xml:space="preserve">Note: </w:t>
      </w:r>
      <w:r>
        <w:rPr>
          <w:i/>
          <w:iCs/>
        </w:rPr>
        <w:t xml:space="preserve">Adjusted figures exclude business realignment costs, acquisition integration expenses, and one-time items.</w:t>
      </w:r>
    </w:p>
    <w:p>
      <w:pPr>
        <w:pStyle w:val="Heading2"/>
      </w:pPr>
      <w:r>
        <w:t xml:space="preserve">2.2 Cash Flow &amp; Balance Sheet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1870"/>
        <w:gridCol w:w="1870"/>
        <w:gridCol w:w="187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Metric</w:t>
            </w:r>
          </w:p>
        </w:tc>
        <w:tc>
          <w:tcPr>
            <w:tcW w:type="dxa" w:w="187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FY2024</w:t>
            </w:r>
          </w:p>
        </w:tc>
        <w:tc>
          <w:tcPr>
            <w:tcW w:type="dxa" w:w="187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FY2023</w:t>
            </w:r>
          </w:p>
        </w:tc>
        <w:tc>
          <w:tcPr>
            <w:tcW w:type="dxa" w:w="187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YoY Change</w:t>
            </w:r>
          </w:p>
        </w:tc>
      </w:tr>
      <w:tr>
        <w:tc>
          <w:tcPr>
            <w:tcW w:type="dxa" w:w="3120"/>
            <w:tcBorders>
              <w:top w:val="single" w:color="CCCCCC" w:sz="1"/>
              <w:left w:val="single" w:color="CCCCCC" w:sz="1"/>
              <w:bottom w:val="single" w:color="CCCCCC" w:sz="1"/>
              <w:right w:val="single" w:color="CCCCCC" w:sz="1"/>
            </w:tcBorders>
          </w:tcPr>
          <w:p>
            <w:r>
              <w:rPr>
                <w:b/>
                <w:bCs/>
              </w:rPr>
              <w:t xml:space="preserve">Cash from Operations</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$3,384</w:t>
            </w:r>
          </w:p>
        </w:tc>
        <w:tc>
          <w:tcPr>
            <w:tcW w:type="dxa" w:w="1870"/>
            <w:tcBorders>
              <w:top w:val="single" w:color="CCCCCC" w:sz="1"/>
              <w:left w:val="single" w:color="CCCCCC" w:sz="1"/>
              <w:bottom w:val="single" w:color="CCCCCC" w:sz="1"/>
              <w:right w:val="single" w:color="CCCCCC" w:sz="1"/>
            </w:tcBorders>
          </w:tcPr>
          <w:p>
            <w:pPr>
              <w:jc w:val="right"/>
            </w:pPr>
            <w:r>
              <w:t xml:space="preserve">$2,980</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+13.6%</w:t>
            </w:r>
          </w:p>
        </w:tc>
      </w:tr>
      <w:tr>
        <w:tc>
          <w:tcPr>
            <w:tcW w:type="dxa" w:w="3120"/>
            <w:tcBorders>
              <w:top w:val="single" w:color="CCCCCC" w:sz="1"/>
              <w:left w:val="single" w:color="CCCCCC" w:sz="1"/>
              <w:bottom w:val="single" w:color="CCCCCC" w:sz="1"/>
              <w:right w:val="single" w:color="CCCCCC" w:sz="1"/>
            </w:tcBorders>
          </w:tcPr>
          <w:p>
            <w:r>
              <w:t xml:space="preserve">Cash from Operations (% Sales)</w:t>
            </w:r>
          </w:p>
        </w:tc>
        <w:tc>
          <w:tcPr>
            <w:tcW w:type="dxa" w:w="1870"/>
            <w:tcBorders>
              <w:top w:val="single" w:color="CCCCCC" w:sz="1"/>
              <w:left w:val="single" w:color="CCCCCC" w:sz="1"/>
              <w:bottom w:val="single" w:color="CCCCCC" w:sz="1"/>
              <w:right w:val="single" w:color="CCCCCC" w:sz="1"/>
            </w:tcBorders>
          </w:tcPr>
          <w:p>
            <w:pPr>
              <w:jc w:val="right"/>
            </w:pPr>
            <w:r>
              <w:t xml:space="preserve">17.0%</w:t>
            </w:r>
          </w:p>
        </w:tc>
        <w:tc>
          <w:tcPr>
            <w:tcW w:type="dxa" w:w="1870"/>
            <w:tcBorders>
              <w:top w:val="single" w:color="CCCCCC" w:sz="1"/>
              <w:left w:val="single" w:color="CCCCCC" w:sz="1"/>
              <w:bottom w:val="single" w:color="CCCCCC" w:sz="1"/>
              <w:right w:val="single" w:color="CCCCCC" w:sz="1"/>
            </w:tcBorders>
          </w:tcPr>
          <w:p>
            <w:pPr>
              <w:jc w:val="right"/>
            </w:pPr>
            <w:r>
              <w:t xml:space="preserve">15.6%</w:t>
            </w:r>
          </w:p>
        </w:tc>
        <w:tc>
          <w:tcPr>
            <w:tcW w:type="dxa" w:w="1870"/>
            <w:tcBorders>
              <w:top w:val="single" w:color="CCCCCC" w:sz="1"/>
              <w:left w:val="single" w:color="CCCCCC" w:sz="1"/>
              <w:bottom w:val="single" w:color="CCCCCC" w:sz="1"/>
              <w:right w:val="single" w:color="CCCCCC" w:sz="1"/>
            </w:tcBorders>
          </w:tcPr>
          <w:p>
            <w:pPr>
              <w:jc w:val="right"/>
            </w:pPr>
            <w:r>
              <w:t xml:space="preserve">+140 bps</w:t>
            </w:r>
          </w:p>
        </w:tc>
      </w:tr>
      <w:tr>
        <w:tc>
          <w:tcPr>
            <w:tcW w:type="dxa" w:w="3120"/>
            <w:tcBorders>
              <w:top w:val="single" w:color="CCCCCC" w:sz="1"/>
              <w:left w:val="single" w:color="CCCCCC" w:sz="1"/>
              <w:bottom w:val="single" w:color="CCCCCC" w:sz="1"/>
              <w:right w:val="single" w:color="CCCCCC" w:sz="1"/>
            </w:tcBorders>
          </w:tcPr>
          <w:p>
            <w:r>
              <w:t xml:space="preserve">Capital Expenditures</w:t>
            </w:r>
          </w:p>
        </w:tc>
        <w:tc>
          <w:tcPr>
            <w:tcW w:type="dxa" w:w="1870"/>
            <w:tcBorders>
              <w:top w:val="single" w:color="CCCCCC" w:sz="1"/>
              <w:left w:val="single" w:color="CCCCCC" w:sz="1"/>
              <w:bottom w:val="single" w:color="CCCCCC" w:sz="1"/>
              <w:right w:val="single" w:color="CCCCCC" w:sz="1"/>
            </w:tcBorders>
          </w:tcPr>
          <w:p>
            <w:pPr>
              <w:jc w:val="right"/>
            </w:pPr>
            <w:r>
              <w:t xml:space="preserve">$400</w:t>
            </w:r>
          </w:p>
        </w:tc>
        <w:tc>
          <w:tcPr>
            <w:tcW w:type="dxa" w:w="1870"/>
            <w:tcBorders>
              <w:top w:val="single" w:color="CCCCCC" w:sz="1"/>
              <w:left w:val="single" w:color="CCCCCC" w:sz="1"/>
              <w:bottom w:val="single" w:color="CCCCCC" w:sz="1"/>
              <w:right w:val="single" w:color="CCCCCC" w:sz="1"/>
            </w:tcBorders>
          </w:tcPr>
          <w:p>
            <w:pPr>
              <w:jc w:val="right"/>
            </w:pPr>
            <w:r>
              <w:t xml:space="preserve">$381</w:t>
            </w:r>
          </w:p>
        </w:tc>
        <w:tc>
          <w:tcPr>
            <w:tcW w:type="dxa" w:w="1870"/>
            <w:tcBorders>
              <w:top w:val="single" w:color="CCCCCC" w:sz="1"/>
              <w:left w:val="single" w:color="CCCCCC" w:sz="1"/>
              <w:bottom w:val="single" w:color="CCCCCC" w:sz="1"/>
              <w:right w:val="single" w:color="CCCCCC" w:sz="1"/>
            </w:tcBorders>
          </w:tcPr>
          <w:p>
            <w:pPr>
              <w:jc w:val="right"/>
            </w:pPr>
            <w:r>
              <w:t xml:space="preserve">+5.0%</w:t>
            </w:r>
          </w:p>
        </w:tc>
      </w:tr>
      <w:tr>
        <w:tc>
          <w:tcPr>
            <w:tcW w:type="dxa" w:w="3120"/>
            <w:tcBorders>
              <w:top w:val="single" w:color="CCCCCC" w:sz="1"/>
              <w:left w:val="single" w:color="CCCCCC" w:sz="1"/>
              <w:bottom w:val="single" w:color="CCCCCC" w:sz="1"/>
              <w:right w:val="single" w:color="CCCCCC" w:sz="1"/>
            </w:tcBorders>
          </w:tcPr>
          <w:p>
            <w:r>
              <w:rPr>
                <w:b/>
                <w:bCs/>
              </w:rPr>
              <w:t xml:space="preserve">Free Cash Flow</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$2,984</w:t>
            </w:r>
          </w:p>
        </w:tc>
        <w:tc>
          <w:tcPr>
            <w:tcW w:type="dxa" w:w="1870"/>
            <w:tcBorders>
              <w:top w:val="single" w:color="CCCCCC" w:sz="1"/>
              <w:left w:val="single" w:color="CCCCCC" w:sz="1"/>
              <w:bottom w:val="single" w:color="CCCCCC" w:sz="1"/>
              <w:right w:val="single" w:color="CCCCCC" w:sz="1"/>
            </w:tcBorders>
          </w:tcPr>
          <w:p>
            <w:pPr>
              <w:jc w:val="right"/>
            </w:pPr>
            <w:r>
              <w:t xml:space="preserve">$2,599</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+14.8%</w:t>
            </w:r>
          </w:p>
        </w:tc>
      </w:tr>
      <w:tr>
        <w:tc>
          <w:tcPr>
            <w:tcW w:type="dxa" w:w="3120"/>
            <w:tcBorders>
              <w:top w:val="single" w:color="CCCCCC" w:sz="1"/>
              <w:left w:val="single" w:color="CCCCCC" w:sz="1"/>
              <w:bottom w:val="single" w:color="CCCCCC" w:sz="1"/>
              <w:right w:val="single" w:color="CCCCCC" w:sz="1"/>
            </w:tcBorders>
          </w:tcPr>
          <w:p>
            <w:r>
              <w:t xml:space="preserve">Free Cash Flow (% Sales)</w:t>
            </w:r>
          </w:p>
        </w:tc>
        <w:tc>
          <w:tcPr>
            <w:tcW w:type="dxa" w:w="1870"/>
            <w:tcBorders>
              <w:top w:val="single" w:color="CCCCCC" w:sz="1"/>
              <w:left w:val="single" w:color="CCCCCC" w:sz="1"/>
              <w:bottom w:val="single" w:color="CCCCCC" w:sz="1"/>
              <w:right w:val="single" w:color="CCCCCC" w:sz="1"/>
            </w:tcBorders>
          </w:tcPr>
          <w:p>
            <w:pPr>
              <w:jc w:val="right"/>
            </w:pPr>
            <w:r>
              <w:t xml:space="preserve">15.0%</w:t>
            </w:r>
          </w:p>
        </w:tc>
        <w:tc>
          <w:tcPr>
            <w:tcW w:type="dxa" w:w="1870"/>
            <w:tcBorders>
              <w:top w:val="single" w:color="CCCCCC" w:sz="1"/>
              <w:left w:val="single" w:color="CCCCCC" w:sz="1"/>
              <w:bottom w:val="single" w:color="CCCCCC" w:sz="1"/>
              <w:right w:val="single" w:color="CCCCCC" w:sz="1"/>
            </w:tcBorders>
          </w:tcPr>
          <w:p>
            <w:pPr>
              <w:jc w:val="right"/>
            </w:pPr>
            <w:r>
              <w:t xml:space="preserve">13.6%</w:t>
            </w:r>
          </w:p>
        </w:tc>
        <w:tc>
          <w:tcPr>
            <w:tcW w:type="dxa" w:w="1870"/>
            <w:tcBorders>
              <w:top w:val="single" w:color="CCCCCC" w:sz="1"/>
              <w:left w:val="single" w:color="CCCCCC" w:sz="1"/>
              <w:bottom w:val="single" w:color="CCCCCC" w:sz="1"/>
              <w:right w:val="single" w:color="CCCCCC" w:sz="1"/>
            </w:tcBorders>
          </w:tcPr>
          <w:p>
            <w:pPr>
              <w:jc w:val="right"/>
            </w:pPr>
            <w:r>
              <w:t xml:space="preserve">+140 bps</w:t>
            </w:r>
          </w:p>
        </w:tc>
      </w:tr>
      <w:tr>
        <w:tc>
          <w:tcPr>
            <w:tcW w:type="dxa" w:w="3120"/>
            <w:tcBorders>
              <w:top w:val="single" w:color="CCCCCC" w:sz="1"/>
              <w:left w:val="single" w:color="CCCCCC" w:sz="1"/>
              <w:bottom w:val="single" w:color="CCCCCC" w:sz="1"/>
              <w:right w:val="single" w:color="CCCCCC" w:sz="1"/>
            </w:tcBorders>
          </w:tcPr>
          <w:p>
            <w:r>
              <w:t xml:space="preserve">Working Capital (Days)</w:t>
            </w:r>
          </w:p>
        </w:tc>
        <w:tc>
          <w:tcPr>
            <w:tcW w:type="dxa" w:w="1870"/>
            <w:tcBorders>
              <w:top w:val="single" w:color="CCCCCC" w:sz="1"/>
              <w:left w:val="single" w:color="CCCCCC" w:sz="1"/>
              <w:bottom w:val="single" w:color="CCCCCC" w:sz="1"/>
              <w:right w:val="single" w:color="CCCCCC" w:sz="1"/>
            </w:tcBorders>
          </w:tcPr>
          <w:p>
            <w:pPr>
              <w:jc w:val="right"/>
            </w:pPr>
            <w:r>
              <w:t xml:space="preserve">–</w:t>
            </w:r>
          </w:p>
        </w:tc>
        <w:tc>
          <w:tcPr>
            <w:tcW w:type="dxa" w:w="1870"/>
            <w:tcBorders>
              <w:top w:val="single" w:color="CCCCCC" w:sz="1"/>
              <w:left w:val="single" w:color="CCCCCC" w:sz="1"/>
              <w:bottom w:val="single" w:color="CCCCCC" w:sz="1"/>
              <w:right w:val="single" w:color="CCCCCC" w:sz="1"/>
            </w:tcBorders>
          </w:tcPr>
          <w:p>
            <w:pPr>
              <w:jc w:val="right"/>
            </w:pPr>
            <w:r>
              <w:t xml:space="preserve">–</w:t>
            </w:r>
          </w:p>
        </w:tc>
        <w:tc>
          <w:tcPr>
            <w:tcW w:type="dxa" w:w="1870"/>
            <w:tcBorders>
              <w:top w:val="single" w:color="CCCCCC" w:sz="1"/>
              <w:left w:val="single" w:color="CCCCCC" w:sz="1"/>
              <w:bottom w:val="single" w:color="CCCCCC" w:sz="1"/>
              <w:right w:val="single" w:color="CCCCCC" w:sz="1"/>
            </w:tcBorders>
          </w:tcPr>
          <w:p>
            <w:pPr>
              <w:jc w:val="right"/>
            </w:pPr>
            <w:r>
              <w:t xml:space="preserve">–</w:t>
            </w:r>
          </w:p>
        </w:tc>
      </w:tr>
      <w:tr>
        <w:tc>
          <w:tcPr>
            <w:tcW w:type="dxa" w:w="3120"/>
            <w:tcBorders>
              <w:top w:val="single" w:color="CCCCCC" w:sz="1"/>
              <w:left w:val="single" w:color="CCCCCC" w:sz="1"/>
              <w:bottom w:val="single" w:color="CCCCCC" w:sz="1"/>
              <w:right w:val="single" w:color="CCCCCC" w:sz="1"/>
            </w:tcBorders>
          </w:tcPr>
          <w:p>
            <w:r>
              <w:t xml:space="preserve">Days Sales Outstanding</w:t>
            </w:r>
          </w:p>
        </w:tc>
        <w:tc>
          <w:tcPr>
            <w:tcW w:type="dxa" w:w="1870"/>
            <w:tcBorders>
              <w:top w:val="single" w:color="CCCCCC" w:sz="1"/>
              <w:left w:val="single" w:color="CCCCCC" w:sz="1"/>
              <w:bottom w:val="single" w:color="CCCCCC" w:sz="1"/>
              <w:right w:val="single" w:color="CCCCCC" w:sz="1"/>
            </w:tcBorders>
          </w:tcPr>
          <w:p>
            <w:pPr>
              <w:jc w:val="right"/>
            </w:pPr>
            <w:r>
              <w:t xml:space="preserve">51</w:t>
            </w:r>
          </w:p>
        </w:tc>
        <w:tc>
          <w:tcPr>
            <w:tcW w:type="dxa" w:w="1870"/>
            <w:tcBorders>
              <w:top w:val="single" w:color="CCCCCC" w:sz="1"/>
              <w:left w:val="single" w:color="CCCCCC" w:sz="1"/>
              <w:bottom w:val="single" w:color="CCCCCC" w:sz="1"/>
              <w:right w:val="single" w:color="CCCCCC" w:sz="1"/>
            </w:tcBorders>
          </w:tcPr>
          <w:p>
            <w:pPr>
              <w:jc w:val="right"/>
            </w:pPr>
            <w:r>
              <w:t xml:space="preserve">51</w:t>
            </w:r>
          </w:p>
        </w:tc>
        <w:tc>
          <w:tcPr>
            <w:tcW w:type="dxa" w:w="1870"/>
            <w:tcBorders>
              <w:top w:val="single" w:color="CCCCCC" w:sz="1"/>
              <w:left w:val="single" w:color="CCCCCC" w:sz="1"/>
              <w:bottom w:val="single" w:color="CCCCCC" w:sz="1"/>
              <w:right w:val="single" w:color="CCCCCC" w:sz="1"/>
            </w:tcBorders>
          </w:tcPr>
          <w:p>
            <w:pPr>
              <w:jc w:val="right"/>
            </w:pPr>
            <w:r>
              <w:t xml:space="preserve">Flat</w:t>
            </w:r>
          </w:p>
        </w:tc>
      </w:tr>
      <w:tr>
        <w:tc>
          <w:tcPr>
            <w:tcW w:type="dxa" w:w="3120"/>
            <w:tcBorders>
              <w:top w:val="single" w:color="CCCCCC" w:sz="1"/>
              <w:left w:val="single" w:color="CCCCCC" w:sz="1"/>
              <w:bottom w:val="single" w:color="CCCCCC" w:sz="1"/>
              <w:right w:val="single" w:color="CCCCCC" w:sz="1"/>
            </w:tcBorders>
          </w:tcPr>
          <w:p>
            <w:r>
              <w:t xml:space="preserve">Days Inventory on Hand</w:t>
            </w:r>
          </w:p>
        </w:tc>
        <w:tc>
          <w:tcPr>
            <w:tcW w:type="dxa" w:w="1870"/>
            <w:tcBorders>
              <w:top w:val="single" w:color="CCCCCC" w:sz="1"/>
              <w:left w:val="single" w:color="CCCCCC" w:sz="1"/>
              <w:bottom w:val="single" w:color="CCCCCC" w:sz="1"/>
              <w:right w:val="single" w:color="CCCCCC" w:sz="1"/>
            </w:tcBorders>
          </w:tcPr>
          <w:p>
            <w:pPr>
              <w:jc w:val="right"/>
            </w:pPr>
            <w:r>
              <w:t xml:space="preserve">80</w:t>
            </w:r>
          </w:p>
        </w:tc>
        <w:tc>
          <w:tcPr>
            <w:tcW w:type="dxa" w:w="1870"/>
            <w:tcBorders>
              <w:top w:val="single" w:color="CCCCCC" w:sz="1"/>
              <w:left w:val="single" w:color="CCCCCC" w:sz="1"/>
              <w:bottom w:val="single" w:color="CCCCCC" w:sz="1"/>
              <w:right w:val="single" w:color="CCCCCC" w:sz="1"/>
            </w:tcBorders>
          </w:tcPr>
          <w:p>
            <w:pPr>
              <w:jc w:val="right"/>
            </w:pPr>
            <w:r>
              <w:t xml:space="preserve">85</w:t>
            </w:r>
          </w:p>
        </w:tc>
        <w:tc>
          <w:tcPr>
            <w:tcW w:type="dxa" w:w="1870"/>
            <w:tcBorders>
              <w:top w:val="single" w:color="CCCCCC" w:sz="1"/>
              <w:left w:val="single" w:color="CCCCCC" w:sz="1"/>
              <w:bottom w:val="single" w:color="CCCCCC" w:sz="1"/>
              <w:right w:val="single" w:color="CCCCCC" w:sz="1"/>
            </w:tcBorders>
          </w:tcPr>
          <w:p>
            <w:pPr>
              <w:jc w:val="right"/>
            </w:pPr>
            <w:r>
              <w:t xml:space="preserve">-5 days</w:t>
            </w:r>
          </w:p>
        </w:tc>
      </w:tr>
      <w:tr>
        <w:tc>
          <w:tcPr>
            <w:tcW w:type="dxa" w:w="3120"/>
            <w:tcBorders>
              <w:top w:val="single" w:color="CCCCCC" w:sz="1"/>
              <w:left w:val="single" w:color="CCCCCC" w:sz="1"/>
              <w:bottom w:val="single" w:color="CCCCCC" w:sz="1"/>
              <w:right w:val="single" w:color="CCCCCC" w:sz="1"/>
            </w:tcBorders>
          </w:tcPr>
          <w:p>
            <w:r>
              <w:t xml:space="preserve">Total Debt</w:t>
            </w:r>
          </w:p>
        </w:tc>
        <w:tc>
          <w:tcPr>
            <w:tcW w:type="dxa" w:w="1870"/>
            <w:tcBorders>
              <w:top w:val="single" w:color="CCCCCC" w:sz="1"/>
              <w:left w:val="single" w:color="CCCCCC" w:sz="1"/>
              <w:bottom w:val="single" w:color="CCCCCC" w:sz="1"/>
              <w:right w:val="single" w:color="CCCCCC" w:sz="1"/>
            </w:tcBorders>
          </w:tcPr>
          <w:p>
            <w:pPr>
              <w:jc w:val="right"/>
            </w:pPr>
            <w:r>
              <w:t xml:space="preserve">$10,215</w:t>
            </w:r>
          </w:p>
        </w:tc>
        <w:tc>
          <w:tcPr>
            <w:tcW w:type="dxa" w:w="1870"/>
            <w:tcBorders>
              <w:top w:val="single" w:color="CCCCCC" w:sz="1"/>
              <w:left w:val="single" w:color="CCCCCC" w:sz="1"/>
              <w:bottom w:val="single" w:color="CCCCCC" w:sz="1"/>
              <w:right w:val="single" w:color="CCCCCC" w:sz="1"/>
            </w:tcBorders>
          </w:tcPr>
          <w:p>
            <w:pPr>
              <w:jc w:val="right"/>
            </w:pPr>
            <w:r>
              <w:t xml:space="preserve">$12,609</w:t>
            </w:r>
          </w:p>
        </w:tc>
        <w:tc>
          <w:tcPr>
            <w:tcW w:type="dxa" w:w="1870"/>
            <w:tcBorders>
              <w:top w:val="single" w:color="CCCCCC" w:sz="1"/>
              <w:left w:val="single" w:color="CCCCCC" w:sz="1"/>
              <w:bottom w:val="single" w:color="CCCCCC" w:sz="1"/>
              <w:right w:val="single" w:color="CCCCCC" w:sz="1"/>
            </w:tcBorders>
          </w:tcPr>
          <w:p>
            <w:pPr>
              <w:jc w:val="right"/>
            </w:pPr>
            <w:r>
              <w:t xml:space="preserve">-$2,394</w:t>
            </w:r>
          </w:p>
        </w:tc>
      </w:tr>
      <w:tr>
        <w:tc>
          <w:tcPr>
            <w:tcW w:type="dxa" w:w="3120"/>
            <w:tcBorders>
              <w:top w:val="single" w:color="CCCCCC" w:sz="1"/>
              <w:left w:val="single" w:color="CCCCCC" w:sz="1"/>
              <w:bottom w:val="single" w:color="CCCCCC" w:sz="1"/>
              <w:right w:val="single" w:color="CCCCCC" w:sz="1"/>
            </w:tcBorders>
          </w:tcPr>
          <w:p>
            <w:r>
              <w:rPr>
                <w:b/>
                <w:bCs/>
              </w:rPr>
              <w:t xml:space="preserve">Net Debt to Adj. EBITDA</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2.0x</w:t>
            </w:r>
          </w:p>
        </w:tc>
        <w:tc>
          <w:tcPr>
            <w:tcW w:type="dxa" w:w="1870"/>
            <w:tcBorders>
              <w:top w:val="single" w:color="CCCCCC" w:sz="1"/>
              <w:left w:val="single" w:color="CCCCCC" w:sz="1"/>
              <w:bottom w:val="single" w:color="CCCCCC" w:sz="1"/>
              <w:right w:val="single" w:color="CCCCCC" w:sz="1"/>
            </w:tcBorders>
          </w:tcPr>
          <w:p>
            <w:pPr>
              <w:jc w:val="right"/>
            </w:pPr>
            <w:r>
              <w:t xml:space="preserve">2.8x</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-0.8x</w:t>
            </w:r>
          </w:p>
        </w:tc>
      </w:tr>
      <w:tr>
        <w:tc>
          <w:tcPr>
            <w:tcW w:type="dxa" w:w="3120"/>
            <w:tcBorders>
              <w:top w:val="single" w:color="CCCCCC" w:sz="1"/>
              <w:left w:val="single" w:color="CCCCCC" w:sz="1"/>
              <w:bottom w:val="single" w:color="CCCCCC" w:sz="1"/>
              <w:right w:val="single" w:color="CCCCCC" w:sz="1"/>
            </w:tcBorders>
          </w:tcPr>
          <w:p>
            <w:r>
              <w:t xml:space="preserve">Shareholders' Equity</w:t>
            </w:r>
          </w:p>
        </w:tc>
        <w:tc>
          <w:tcPr>
            <w:tcW w:type="dxa" w:w="1870"/>
            <w:tcBorders>
              <w:top w:val="single" w:color="CCCCCC" w:sz="1"/>
              <w:left w:val="single" w:color="CCCCCC" w:sz="1"/>
              <w:bottom w:val="single" w:color="CCCCCC" w:sz="1"/>
              <w:right w:val="single" w:color="CCCCCC" w:sz="1"/>
            </w:tcBorders>
          </w:tcPr>
          <w:p>
            <w:pPr>
              <w:jc w:val="right"/>
            </w:pPr>
            <w:r>
              <w:t xml:space="preserve">$12,837</w:t>
            </w:r>
          </w:p>
        </w:tc>
        <w:tc>
          <w:tcPr>
            <w:tcW w:type="dxa" w:w="1870"/>
            <w:tcBorders>
              <w:top w:val="single" w:color="CCCCCC" w:sz="1"/>
              <w:left w:val="single" w:color="CCCCCC" w:sz="1"/>
              <w:bottom w:val="single" w:color="CCCCCC" w:sz="1"/>
              <w:right w:val="single" w:color="CCCCCC" w:sz="1"/>
            </w:tcBorders>
          </w:tcPr>
          <w:p>
            <w:pPr>
              <w:jc w:val="right"/>
            </w:pPr>
            <w:r>
              <w:t xml:space="preserve">$10,645</w:t>
            </w:r>
          </w:p>
        </w:tc>
        <w:tc>
          <w:tcPr>
            <w:tcW w:type="dxa" w:w="1870"/>
            <w:tcBorders>
              <w:top w:val="single" w:color="CCCCCC" w:sz="1"/>
              <w:left w:val="single" w:color="CCCCCC" w:sz="1"/>
              <w:bottom w:val="single" w:color="CCCCCC" w:sz="1"/>
              <w:right w:val="single" w:color="CCCCCC" w:sz="1"/>
            </w:tcBorders>
          </w:tcPr>
          <w:p>
            <w:pPr>
              <w:jc w:val="right"/>
            </w:pPr>
            <w:r>
              <w:t xml:space="preserve">+20.6%</w:t>
            </w:r>
          </w:p>
        </w:tc>
      </w:tr>
      <w:tr>
        <w:tc>
          <w:tcPr>
            <w:tcW w:type="dxa" w:w="3120"/>
            <w:tcBorders>
              <w:top w:val="single" w:color="CCCCCC" w:sz="1"/>
              <w:left w:val="single" w:color="CCCCCC" w:sz="1"/>
              <w:bottom w:val="single" w:color="CCCCCC" w:sz="1"/>
              <w:right w:val="single" w:color="CCCCCC" w:sz="1"/>
            </w:tcBorders>
          </w:tcPr>
          <w:p>
            <w:r>
              <w:t xml:space="preserve">Return on Equity (ROE)</w:t>
            </w:r>
          </w:p>
        </w:tc>
        <w:tc>
          <w:tcPr>
            <w:tcW w:type="dxa" w:w="1870"/>
            <w:tcBorders>
              <w:top w:val="single" w:color="CCCCCC" w:sz="1"/>
              <w:left w:val="single" w:color="CCCCCC" w:sz="1"/>
              <w:bottom w:val="single" w:color="CCCCCC" w:sz="1"/>
              <w:right w:val="single" w:color="CCCCCC" w:sz="1"/>
            </w:tcBorders>
          </w:tcPr>
          <w:p>
            <w:pPr>
              <w:jc w:val="right"/>
            </w:pPr>
            <w:r>
              <w:t xml:space="preserve">23.9%*</w:t>
            </w:r>
          </w:p>
        </w:tc>
        <w:tc>
          <w:tcPr>
            <w:tcW w:type="dxa" w:w="1870"/>
            <w:tcBorders>
              <w:top w:val="single" w:color="CCCCCC" w:sz="1"/>
              <w:left w:val="single" w:color="CCCCCC" w:sz="1"/>
              <w:bottom w:val="single" w:color="CCCCCC" w:sz="1"/>
              <w:right w:val="single" w:color="CCCCCC" w:sz="1"/>
            </w:tcBorders>
          </w:tcPr>
          <w:p>
            <w:pPr>
              <w:jc w:val="right"/>
            </w:pPr>
            <w:r>
              <w:t xml:space="preserve">21.0%*</w:t>
            </w:r>
          </w:p>
        </w:tc>
        <w:tc>
          <w:tcPr>
            <w:tcW w:type="dxa" w:w="1870"/>
            <w:tcBorders>
              <w:top w:val="single" w:color="CCCCCC" w:sz="1"/>
              <w:left w:val="single" w:color="CCCCCC" w:sz="1"/>
              <w:bottom w:val="single" w:color="CCCCCC" w:sz="1"/>
              <w:right w:val="single" w:color="CCCCCC" w:sz="1"/>
            </w:tcBorders>
          </w:tcPr>
          <w:p>
            <w:pPr>
              <w:jc w:val="right"/>
            </w:pPr>
            <w:r>
              <w:t xml:space="preserve">+290 bps</w:t>
            </w:r>
          </w:p>
        </w:tc>
      </w:tr>
    </w:tbl>
    <w:p>
      <w:pPr>
        <w:spacing w:before="180" w:after="240"/>
      </w:pPr>
      <w:r>
        <w:rPr>
          <w:i/>
          <w:iCs/>
          <w:sz w:val="20"/>
          <w:szCs w:val="20"/>
        </w:rPr>
        <w:t xml:space="preserve">*Calculated as Net Income divided by average Shareholders' Equity</w:t>
      </w:r>
    </w:p>
    <w:p>
      <w:pPr>
        <w:pStyle w:val="Heading2"/>
      </w:pPr>
      <w:r>
        <w:t xml:space="preserve">2.3 Key Performance Indicators &amp; Ratios</w:t>
      </w:r>
    </w:p>
    <w:p>
      <w:pPr>
        <w:spacing w:before="120" w:after="120"/>
      </w:pPr>
      <w:r>
        <w:rPr>
          <w:b/>
          <w:bCs/>
        </w:rPr>
        <w:t xml:space="preserve">Five-Year Performance Trajectory (FY2019-FY2024):</w:t>
      </w:r>
    </w:p>
    <w:p>
      <w:pPr>
        <w:spacing w:after="80"/>
      </w:pPr>
      <w:r>
        <w:t xml:space="preserve">• Revenue CAGR: +7% ($14.3B to $19.9B)</w:t>
      </w:r>
    </w:p>
    <w:p>
      <w:pPr>
        <w:spacing w:after="80"/>
      </w:pPr>
      <w:r>
        <w:t xml:space="preserve">• Adjusted Segment Operating Margin: +630 bps expansion (18.6% to 24.9%)</w:t>
      </w:r>
    </w:p>
    <w:p>
      <w:pPr>
        <w:spacing w:after="80"/>
      </w:pPr>
      <w:r>
        <w:t xml:space="preserve">• Adjusted EPS CAGR: +14% ($13.10 to $25.44)</w:t>
      </w:r>
    </w:p>
    <w:p>
      <w:pPr>
        <w:spacing w:after="240"/>
      </w:pPr>
      <w:r>
        <w:t xml:space="preserve">• Free Cash Flow: Doubled from $1.5B to $3.0B</w:t>
      </w:r>
    </w:p>
    <w:p>
      <w:pPr>
        <w:spacing w:before="120" w:after="120"/>
      </w:pPr>
      <w:r>
        <w:rPr>
          <w:b/>
          <w:bCs/>
        </w:rPr>
        <w:t xml:space="preserve">Capital Deployment Priorities:</w:t>
      </w:r>
    </w:p>
    <w:p>
      <w:pPr>
        <w:spacing w:after="80"/>
      </w:pPr>
      <w:r>
        <w:t xml:space="preserve">• Dividends: 68 consecutive years of annual increases (top 5 in S&amp;P 500)</w:t>
      </w:r>
    </w:p>
    <w:p>
      <w:pPr>
        <w:spacing w:after="80"/>
      </w:pPr>
      <w:r>
        <w:t xml:space="preserve">• Share Repurchases: $200M in FY2024 to offset dilution</w:t>
      </w:r>
    </w:p>
    <w:p>
      <w:pPr>
        <w:spacing w:after="80"/>
      </w:pPr>
      <w:r>
        <w:t xml:space="preserve">• Debt Reduction: $2.0B paid down in FY2024, achieving 2.0x leverage target</w:t>
      </w:r>
    </w:p>
    <w:p>
      <w:pPr>
        <w:spacing w:after="240"/>
      </w:pPr>
      <w:r>
        <w:t xml:space="preserve">• Strategic Acquisitions: Disciplined approach focused on margin-accretive, technology-enhancing deals</w:t>
      </w:r>
    </w:p>
    <w:p>
      <w:pPr>
        <w:spacing w:before="240" w:after="120"/>
      </w:pPr>
      <w:r>
        <w:rPr>
          <w:b/>
          <w:bCs/>
          <w:sz w:val="24"/>
          <w:szCs w:val="24"/>
        </w:rPr>
        <w:t xml:space="preserve">Analysis</w:t>
      </w:r>
    </w:p>
    <w:p>
      <w:pPr>
        <w:spacing w:after="120"/>
      </w:pPr>
      <w:r>
        <w:t xml:space="preserve">Parker's FY2024 financial performance demonstrates the successful execution of its transformation strategy. The 200-basis-point expansion in adjusted segment operating margin to a record 24.9% validates management's ability to drive operational excellence through The Win Strategy while integrating the largest acquisition in company history. Strong cash generation, with operating cash flow reaching 17.0% of sales, enabled aggressive debt paydown while maintaining capital investments and shareholder returns.</w:t>
      </w:r>
    </w:p>
    <w:p>
      <w:pPr>
        <w:spacing w:after="120"/>
      </w:pPr>
      <w:r>
        <w:t xml:space="preserve">The balance sheet is now in fortress position with net leverage at 2.0x, providing significant capacity for capital deployment. Working capital management remains disciplined with inventory days improving by five days year-over-year despite aerospace supply chain complexities. The company's 68-year dividend growth streak and top-quartile cash conversion (15% free cash flow margin) underscore financial resilience and shareholder-friendly capital allocation.</w:t>
      </w:r>
    </w:p>
    <w:p>
      <w:r>
        <w:t xml:space="preserve">Looking ahead to FY2029 targets, Parker has established a clear roadmap to 27% segment operating margins and 17% free cash flow margins, which would generate approximately $35 billion in cumulative capital deployment capacity. The FY2024 results provide strong evidence that these ambitious targets are achievable through continued Win Strategy application, aerospace aftermarket leverage, and industrial market recovery.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2025-12-05T21:44:09.138Z</dcterms:created>
  <dcterms:modified xsi:type="dcterms:W3CDTF">2025-12-05T21:44:09.139Z</dcterms:modified>
</cp:coreProperties>
</file>

<file path=docProps/custom.xml><?xml version="1.0" encoding="utf-8"?>
<Properties xmlns="http://schemas.openxmlformats.org/officeDocument/2006/custom-properties" xmlns:vt="http://schemas.openxmlformats.org/officeDocument/2006/docPropsVTypes"/>
</file>