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Segment Analysis</w:t>
      </w:r>
    </w:p>
    <w:p>
      <w:pPr>
        <w:spacing w:before="120" w:after="240"/>
      </w:pPr>
      <w:r>
        <w:t xml:space="preserve">Parker-Hannifin operates through two primary reportable segments that serve distinct end markets with complementary technology portfolios. The Diversified Industrial Segment (73% of FY2024 revenue) provides motion and control solutions across industrial, mobile, and commercial markets globally. The Aerospace Systems Segment (27% of FY2024 revenue) supplies highly engineered components and systems for commercial and defense aircraft platforms with significant aftermarket content.</w:t>
      </w:r>
    </w:p>
    <w:p>
      <w:pPr>
        <w:pStyle w:val="Heading2"/>
      </w:pPr>
      <w:r>
        <w:t xml:space="preserve">4.1 Diversified Industrial Segment</w:t>
      </w:r>
    </w:p>
    <w:p>
      <w:pPr>
        <w:spacing w:before="120" w:after="80"/>
      </w:pPr>
      <w:r>
        <w:rPr>
          <w:b/>
          <w:bCs/>
          <w:sz w:val="24"/>
          <w:szCs w:val="24"/>
        </w:rPr>
        <w:t xml:space="preserve">4.1.1 Financial Snapshot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870"/>
        <w:gridCol w:w="1870"/>
        <w:gridCol w:w="187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FY2024</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FY2023</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YoY Change</w:t>
            </w:r>
          </w:p>
        </w:tc>
      </w:tr>
      <w:tr>
        <w:tc>
          <w:tcPr>
            <w:tcW w:type="dxa" w:w="3120"/>
            <w:tcBorders>
              <w:top w:val="single" w:color="CCCCCC" w:sz="1"/>
              <w:left w:val="single" w:color="CCCCCC" w:sz="1"/>
              <w:bottom w:val="single" w:color="CCCCCC" w:sz="1"/>
              <w:right w:val="single" w:color="CCCCCC" w:sz="1"/>
            </w:tcBorders>
          </w:tcPr>
          <w:p>
            <w:r>
              <w:rPr>
                <w:b/>
                <w:bCs/>
              </w:rPr>
              <w:t xml:space="preserve">Total Segment Sales</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$14,457M</w:t>
            </w:r>
          </w:p>
        </w:tc>
        <w:tc>
          <w:tcPr>
            <w:tcW w:type="dxa" w:w="1870"/>
            <w:tcBorders>
              <w:top w:val="single" w:color="CCCCCC" w:sz="1"/>
              <w:left w:val="single" w:color="CCCCCC" w:sz="1"/>
              <w:bottom w:val="single" w:color="CCCCCC" w:sz="1"/>
              <w:right w:val="single" w:color="CCCCCC" w:sz="1"/>
            </w:tcBorders>
          </w:tcPr>
          <w:p>
            <w:pPr>
              <w:jc w:val="right"/>
            </w:pPr>
            <w:r>
              <w:t xml:space="preserve">$14,706M</w:t>
            </w:r>
          </w:p>
        </w:tc>
        <w:tc>
          <w:tcPr>
            <w:tcW w:type="dxa" w:w="1870"/>
            <w:tcBorders>
              <w:top w:val="single" w:color="CCCCCC" w:sz="1"/>
              <w:left w:val="single" w:color="CCCCCC" w:sz="1"/>
              <w:bottom w:val="single" w:color="CCCCCC" w:sz="1"/>
              <w:right w:val="single" w:color="CCCCCC" w:sz="1"/>
            </w:tcBorders>
          </w:tcPr>
          <w:p>
            <w:pPr>
              <w:jc w:val="right"/>
            </w:pPr>
            <w:r>
              <w:t xml:space="preserve">-1.7%</w:t>
            </w:r>
          </w:p>
        </w:tc>
      </w:tr>
      <w:tr>
        <w:tc>
          <w:tcPr>
            <w:tcW w:type="dxa" w:w="3120"/>
            <w:tcBorders>
              <w:top w:val="single" w:color="CCCCCC" w:sz="1"/>
              <w:left w:val="single" w:color="CCCCCC" w:sz="1"/>
              <w:bottom w:val="single" w:color="CCCCCC" w:sz="1"/>
              <w:right w:val="single" w:color="CCCCCC" w:sz="1"/>
            </w:tcBorders>
          </w:tcPr>
          <w:p>
            <w:r>
              <w:t xml:space="preserve">North America Sales</w:t>
            </w:r>
          </w:p>
        </w:tc>
        <w:tc>
          <w:tcPr>
            <w:tcW w:type="dxa" w:w="1870"/>
            <w:tcBorders>
              <w:top w:val="single" w:color="CCCCCC" w:sz="1"/>
              <w:left w:val="single" w:color="CCCCCC" w:sz="1"/>
              <w:bottom w:val="single" w:color="CCCCCC" w:sz="1"/>
              <w:right w:val="single" w:color="CCCCCC" w:sz="1"/>
            </w:tcBorders>
          </w:tcPr>
          <w:p>
            <w:pPr>
              <w:jc w:val="right"/>
            </w:pPr>
            <w:r>
              <w:t xml:space="preserve">$8,800M</w:t>
            </w:r>
          </w:p>
        </w:tc>
        <w:tc>
          <w:tcPr>
            <w:tcW w:type="dxa" w:w="1870"/>
            <w:tcBorders>
              <w:top w:val="single" w:color="CCCCCC" w:sz="1"/>
              <w:left w:val="single" w:color="CCCCCC" w:sz="1"/>
              <w:bottom w:val="single" w:color="CCCCCC" w:sz="1"/>
              <w:right w:val="single" w:color="CCCCCC" w:sz="1"/>
            </w:tcBorders>
          </w:tcPr>
          <w:p>
            <w:pPr>
              <w:jc w:val="right"/>
            </w:pPr>
            <w:r>
              <w:t xml:space="preserve">$8,916M</w:t>
            </w:r>
          </w:p>
        </w:tc>
        <w:tc>
          <w:tcPr>
            <w:tcW w:type="dxa" w:w="1870"/>
            <w:tcBorders>
              <w:top w:val="single" w:color="CCCCCC" w:sz="1"/>
              <w:left w:val="single" w:color="CCCCCC" w:sz="1"/>
              <w:bottom w:val="single" w:color="CCCCCC" w:sz="1"/>
              <w:right w:val="single" w:color="CCCCCC" w:sz="1"/>
            </w:tcBorders>
          </w:tcPr>
          <w:p>
            <w:pPr>
              <w:jc w:val="right"/>
            </w:pPr>
            <w:r>
              <w:t xml:space="preserve">-1.3%</w:t>
            </w:r>
          </w:p>
        </w:tc>
      </w:tr>
      <w:tr>
        <w:tc>
          <w:tcPr>
            <w:tcW w:type="dxa" w:w="3120"/>
            <w:tcBorders>
              <w:top w:val="single" w:color="CCCCCC" w:sz="1"/>
              <w:left w:val="single" w:color="CCCCCC" w:sz="1"/>
              <w:bottom w:val="single" w:color="CCCCCC" w:sz="1"/>
              <w:right w:val="single" w:color="CCCCCC" w:sz="1"/>
            </w:tcBorders>
          </w:tcPr>
          <w:p>
            <w:r>
              <w:t xml:space="preserve">International Sales</w:t>
            </w:r>
          </w:p>
        </w:tc>
        <w:tc>
          <w:tcPr>
            <w:tcW w:type="dxa" w:w="1870"/>
            <w:tcBorders>
              <w:top w:val="single" w:color="CCCCCC" w:sz="1"/>
              <w:left w:val="single" w:color="CCCCCC" w:sz="1"/>
              <w:bottom w:val="single" w:color="CCCCCC" w:sz="1"/>
              <w:right w:val="single" w:color="CCCCCC" w:sz="1"/>
            </w:tcBorders>
          </w:tcPr>
          <w:p>
            <w:pPr>
              <w:jc w:val="right"/>
            </w:pPr>
            <w:r>
              <w:t xml:space="preserve">$5,657M</w:t>
            </w:r>
          </w:p>
        </w:tc>
        <w:tc>
          <w:tcPr>
            <w:tcW w:type="dxa" w:w="1870"/>
            <w:tcBorders>
              <w:top w:val="single" w:color="CCCCCC" w:sz="1"/>
              <w:left w:val="single" w:color="CCCCCC" w:sz="1"/>
              <w:bottom w:val="single" w:color="CCCCCC" w:sz="1"/>
              <w:right w:val="single" w:color="CCCCCC" w:sz="1"/>
            </w:tcBorders>
          </w:tcPr>
          <w:p>
            <w:pPr>
              <w:jc w:val="right"/>
            </w:pPr>
            <w:r>
              <w:t xml:space="preserve">$5,789M</w:t>
            </w:r>
          </w:p>
        </w:tc>
        <w:tc>
          <w:tcPr>
            <w:tcW w:type="dxa" w:w="1870"/>
            <w:tcBorders>
              <w:top w:val="single" w:color="CCCCCC" w:sz="1"/>
              <w:left w:val="single" w:color="CCCCCC" w:sz="1"/>
              <w:bottom w:val="single" w:color="CCCCCC" w:sz="1"/>
              <w:right w:val="single" w:color="CCCCCC" w:sz="1"/>
            </w:tcBorders>
          </w:tcPr>
          <w:p>
            <w:pPr>
              <w:jc w:val="right"/>
            </w:pPr>
            <w:r>
              <w:t xml:space="preserve">-2.3%</w:t>
            </w:r>
          </w:p>
        </w:tc>
      </w:tr>
      <w:tr>
        <w:tc>
          <w:tcPr>
            <w:tcW w:type="dxa" w:w="3120"/>
            <w:tcBorders>
              <w:top w:val="single" w:color="CCCCCC" w:sz="1"/>
              <w:left w:val="single" w:color="CCCCCC" w:sz="1"/>
              <w:bottom w:val="single" w:color="CCCCCC" w:sz="1"/>
              <w:right w:val="single" w:color="CCCCCC" w:sz="1"/>
            </w:tcBorders>
          </w:tcPr>
          <w:p>
            <w:r>
              <w:rPr>
                <w:b/>
                <w:bCs/>
              </w:rPr>
              <w:t xml:space="preserve">Segment Operating Income</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$3,176M</w:t>
            </w:r>
          </w:p>
        </w:tc>
        <w:tc>
          <w:tcPr>
            <w:tcW w:type="dxa" w:w="1870"/>
            <w:tcBorders>
              <w:top w:val="single" w:color="CCCCCC" w:sz="1"/>
              <w:left w:val="single" w:color="CCCCCC" w:sz="1"/>
              <w:bottom w:val="single" w:color="CCCCCC" w:sz="1"/>
              <w:right w:val="single" w:color="CCCCCC" w:sz="1"/>
            </w:tcBorders>
          </w:tcPr>
          <w:p>
            <w:pPr>
              <w:jc w:val="right"/>
            </w:pPr>
            <w:r>
              <w:t xml:space="preserve">$3,071M</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+3.4%</w:t>
            </w:r>
          </w:p>
        </w:tc>
      </w:tr>
      <w:tr>
        <w:tc>
          <w:tcPr>
            <w:tcW w:type="dxa" w:w="3120"/>
            <w:tcBorders>
              <w:top w:val="single" w:color="CCCCCC" w:sz="1"/>
              <w:left w:val="single" w:color="CCCCCC" w:sz="1"/>
              <w:bottom w:val="single" w:color="CCCCCC" w:sz="1"/>
              <w:right w:val="single" w:color="CCCCCC" w:sz="1"/>
            </w:tcBorders>
          </w:tcPr>
          <w:p>
            <w:r>
              <w:rPr>
                <w:b/>
                <w:bCs/>
              </w:rPr>
              <w:t xml:space="preserve">Segment Operating Margin</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22.0%</w:t>
            </w:r>
          </w:p>
        </w:tc>
        <w:tc>
          <w:tcPr>
            <w:tcW w:type="dxa" w:w="1870"/>
            <w:tcBorders>
              <w:top w:val="single" w:color="CCCCCC" w:sz="1"/>
              <w:left w:val="single" w:color="CCCCCC" w:sz="1"/>
              <w:bottom w:val="single" w:color="CCCCCC" w:sz="1"/>
              <w:right w:val="single" w:color="CCCCCC" w:sz="1"/>
            </w:tcBorders>
          </w:tcPr>
          <w:p>
            <w:pPr>
              <w:jc w:val="right"/>
            </w:pPr>
            <w:r>
              <w:t xml:space="preserve">20.9%</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+110 bps</w:t>
            </w:r>
          </w:p>
        </w:tc>
      </w:tr>
      <w:tr>
        <w:tc>
          <w:tcPr>
            <w:tcW w:type="dxa" w:w="3120"/>
            <w:tcBorders>
              <w:top w:val="single" w:color="CCCCCC" w:sz="1"/>
              <w:left w:val="single" w:color="CCCCCC" w:sz="1"/>
              <w:bottom w:val="single" w:color="CCCCCC" w:sz="1"/>
              <w:right w:val="single" w:color="CCCCCC" w:sz="1"/>
            </w:tcBorders>
          </w:tcPr>
          <w:p>
            <w:r>
              <w:t xml:space="preserve">North America Margin</w:t>
            </w:r>
          </w:p>
        </w:tc>
        <w:tc>
          <w:tcPr>
            <w:tcW w:type="dxa" w:w="1870"/>
            <w:tcBorders>
              <w:top w:val="single" w:color="CCCCCC" w:sz="1"/>
              <w:left w:val="single" w:color="CCCCCC" w:sz="1"/>
              <w:bottom w:val="single" w:color="CCCCCC" w:sz="1"/>
              <w:right w:val="single" w:color="CCCCCC" w:sz="1"/>
            </w:tcBorders>
          </w:tcPr>
          <w:p>
            <w:pPr>
              <w:jc w:val="right"/>
            </w:pPr>
            <w:r>
              <w:t xml:space="preserve">22.3%</w:t>
            </w:r>
          </w:p>
        </w:tc>
        <w:tc>
          <w:tcPr>
            <w:tcW w:type="dxa" w:w="1870"/>
            <w:tcBorders>
              <w:top w:val="single" w:color="CCCCCC" w:sz="1"/>
              <w:left w:val="single" w:color="CCCCCC" w:sz="1"/>
              <w:bottom w:val="single" w:color="CCCCCC" w:sz="1"/>
              <w:right w:val="single" w:color="CCCCCC" w:sz="1"/>
            </w:tcBorders>
          </w:tcPr>
          <w:p>
            <w:pPr>
              <w:jc w:val="right"/>
            </w:pPr>
            <w:r>
              <w:t xml:space="preserve">20.8%</w:t>
            </w:r>
          </w:p>
        </w:tc>
        <w:tc>
          <w:tcPr>
            <w:tcW w:type="dxa" w:w="1870"/>
            <w:tcBorders>
              <w:top w:val="single" w:color="CCCCCC" w:sz="1"/>
              <w:left w:val="single" w:color="CCCCCC" w:sz="1"/>
              <w:bottom w:val="single" w:color="CCCCCC" w:sz="1"/>
              <w:right w:val="single" w:color="CCCCCC" w:sz="1"/>
            </w:tcBorders>
          </w:tcPr>
          <w:p>
            <w:pPr>
              <w:jc w:val="right"/>
            </w:pPr>
            <w:r>
              <w:t xml:space="preserve">+150 bps</w:t>
            </w:r>
          </w:p>
        </w:tc>
      </w:tr>
      <w:tr>
        <w:tc>
          <w:tcPr>
            <w:tcW w:type="dxa" w:w="3120"/>
            <w:tcBorders>
              <w:top w:val="single" w:color="CCCCCC" w:sz="1"/>
              <w:left w:val="single" w:color="CCCCCC" w:sz="1"/>
              <w:bottom w:val="single" w:color="CCCCCC" w:sz="1"/>
              <w:right w:val="single" w:color="CCCCCC" w:sz="1"/>
            </w:tcBorders>
          </w:tcPr>
          <w:p>
            <w:r>
              <w:t xml:space="preserve">International Margin</w:t>
            </w:r>
          </w:p>
        </w:tc>
        <w:tc>
          <w:tcPr>
            <w:tcW w:type="dxa" w:w="1870"/>
            <w:tcBorders>
              <w:top w:val="single" w:color="CCCCCC" w:sz="1"/>
              <w:left w:val="single" w:color="CCCCCC" w:sz="1"/>
              <w:bottom w:val="single" w:color="CCCCCC" w:sz="1"/>
              <w:right w:val="single" w:color="CCCCCC" w:sz="1"/>
            </w:tcBorders>
          </w:tcPr>
          <w:p>
            <w:pPr>
              <w:jc w:val="right"/>
            </w:pPr>
            <w:r>
              <w:t xml:space="preserve">21.4%</w:t>
            </w:r>
          </w:p>
        </w:tc>
        <w:tc>
          <w:tcPr>
            <w:tcW w:type="dxa" w:w="1870"/>
            <w:tcBorders>
              <w:top w:val="single" w:color="CCCCCC" w:sz="1"/>
              <w:left w:val="single" w:color="CCCCCC" w:sz="1"/>
              <w:bottom w:val="single" w:color="CCCCCC" w:sz="1"/>
              <w:right w:val="single" w:color="CCCCCC" w:sz="1"/>
            </w:tcBorders>
          </w:tcPr>
          <w:p>
            <w:pPr>
              <w:jc w:val="right"/>
            </w:pPr>
            <w:r>
              <w:t xml:space="preserve">21.0%</w:t>
            </w:r>
          </w:p>
        </w:tc>
        <w:tc>
          <w:tcPr>
            <w:tcW w:type="dxa" w:w="1870"/>
            <w:tcBorders>
              <w:top w:val="single" w:color="CCCCCC" w:sz="1"/>
              <w:left w:val="single" w:color="CCCCCC" w:sz="1"/>
              <w:bottom w:val="single" w:color="CCCCCC" w:sz="1"/>
              <w:right w:val="single" w:color="CCCCCC" w:sz="1"/>
            </w:tcBorders>
          </w:tcPr>
          <w:p>
            <w:pPr>
              <w:jc w:val="right"/>
            </w:pPr>
            <w:r>
              <w:t xml:space="preserve">+40 bps</w:t>
            </w:r>
          </w:p>
        </w:tc>
      </w:tr>
      <w:tr>
        <w:tc>
          <w:tcPr>
            <w:tcW w:type="dxa" w:w="3120"/>
            <w:tcBorders>
              <w:top w:val="single" w:color="CCCCCC" w:sz="1"/>
              <w:left w:val="single" w:color="CCCCCC" w:sz="1"/>
              <w:bottom w:val="single" w:color="CCCCCC" w:sz="1"/>
              <w:right w:val="single" w:color="CCCCCC" w:sz="1"/>
            </w:tcBorders>
          </w:tcPr>
          <w:p>
            <w:r>
              <w:t xml:space="preserve">Segment Backlog</w:t>
            </w:r>
          </w:p>
        </w:tc>
        <w:tc>
          <w:tcPr>
            <w:tcW w:type="dxa" w:w="1870"/>
            <w:tcBorders>
              <w:top w:val="single" w:color="CCCCCC" w:sz="1"/>
              <w:left w:val="single" w:color="CCCCCC" w:sz="1"/>
              <w:bottom w:val="single" w:color="CCCCCC" w:sz="1"/>
              <w:right w:val="single" w:color="CCCCCC" w:sz="1"/>
            </w:tcBorders>
          </w:tcPr>
          <w:p>
            <w:pPr>
              <w:jc w:val="right"/>
            </w:pPr>
            <w:r>
              <w:t xml:space="preserve">$4,182M</w:t>
            </w:r>
          </w:p>
        </w:tc>
        <w:tc>
          <w:tcPr>
            <w:tcW w:type="dxa" w:w="1870"/>
            <w:tcBorders>
              <w:top w:val="single" w:color="CCCCCC" w:sz="1"/>
              <w:left w:val="single" w:color="CCCCCC" w:sz="1"/>
              <w:bottom w:val="single" w:color="CCCCCC" w:sz="1"/>
              <w:right w:val="single" w:color="CCCCCC" w:sz="1"/>
            </w:tcBorders>
          </w:tcPr>
          <w:p>
            <w:pPr>
              <w:jc w:val="right"/>
            </w:pPr>
            <w:r>
              <w:t xml:space="preserve">$4,786M</w:t>
            </w:r>
          </w:p>
        </w:tc>
        <w:tc>
          <w:tcPr>
            <w:tcW w:type="dxa" w:w="1870"/>
            <w:tcBorders>
              <w:top w:val="single" w:color="CCCCCC" w:sz="1"/>
              <w:left w:val="single" w:color="CCCCCC" w:sz="1"/>
              <w:bottom w:val="single" w:color="CCCCCC" w:sz="1"/>
              <w:right w:val="single" w:color="CCCCCC" w:sz="1"/>
            </w:tcBorders>
          </w:tcPr>
          <w:p>
            <w:pPr>
              <w:jc w:val="right"/>
            </w:pPr>
            <w:r>
              <w:t xml:space="preserve">-12.6%</w:t>
            </w:r>
          </w:p>
        </w:tc>
      </w:tr>
    </w:tbl>
    <w:p>
      <w:pPr>
        <w:spacing w:before="180" w:after="80"/>
      </w:pPr>
      <w:r>
        <w:rPr>
          <w:b/>
          <w:bCs/>
          <w:sz w:val="24"/>
          <w:szCs w:val="24"/>
        </w:rPr>
        <w:t xml:space="preserve">4.1.2 Performance Analysis</w:t>
      </w:r>
    </w:p>
    <w:p>
      <w:pPr>
        <w:spacing w:before="120" w:after="120"/>
      </w:pPr>
      <w:r>
        <w:rPr>
          <w:b/>
          <w:bCs/>
        </w:rPr>
        <w:t xml:space="preserve">Revenue Dynamics:</w:t>
      </w:r>
    </w:p>
    <w:p>
      <w:pPr>
        <w:spacing w:after="120"/>
      </w:pPr>
      <w:r>
        <w:t xml:space="preserve">The Diversified Industrial Segment experienced a 1.7% organic decline in FY2024, reflecting broad-based industrial market softness across short-cycle businesses. Excluding acquisitions ($115M contribution from Meggitt integration), divestitures ($23M negative), and foreign exchange headwinds ($30M negative), organic sales declined $312M. The decline was concentrated in HVAC/R, transportation, off-highway, and in-plant industrial equipment markets, partially offset by strength in aerospace &amp; defense and energy verticals within the industrial segment.</w:t>
      </w:r>
    </w:p>
    <w:p>
      <w:pPr>
        <w:spacing w:after="120"/>
      </w:pPr>
      <w:r>
        <w:t xml:space="preserve">North America businesses declined 2.2% organically with particular weakness in automotive, commercial HVAC, and general industrial machinery. International businesses decreased 2.0% organically with Europe experiencing the most significant headwinds from weak manufacturing activity and elevated inventory levels. Asia Pacific showed mixed performance with China softness offset by strength in India and Southeast Asia. Latin America posted modest growth driven by infrastructure investments.</w:t>
      </w:r>
    </w:p>
    <w:p>
      <w:pPr>
        <w:spacing w:before="120" w:after="120"/>
      </w:pPr>
      <w:r>
        <w:rPr>
          <w:b/>
          <w:bCs/>
        </w:rPr>
        <w:t xml:space="preserve">Margin Expansion Despite Revenue Headwinds:</w:t>
      </w:r>
    </w:p>
    <w:p>
      <w:pPr>
        <w:spacing w:after="120"/>
      </w:pPr>
      <w:r>
        <w:t xml:space="preserve">Operating margin improved 110 basis points to 22.0% despite lower volumes, demonstrating The Win Strategy's effectiveness. Margin drivers included: (1) Price realization of 3-4% offsetting cost inflation, (2) Favorable product mix toward higher-margin engineered materials and filtration products, (3) Material and freight cost moderation providing tailwinds, (4) Operational efficiencies from lean initiatives and Kaizen events, and (5) Benefits from prior-year restructuring actions. North America margins expanded 150 bps to 22.3% while International margins improved 40 bps to 21.4%.</w:t>
      </w:r>
    </w:p>
    <w:p>
      <w:pPr>
        <w:spacing w:before="120" w:after="120"/>
      </w:pPr>
      <w:r>
        <w:rPr>
          <w:b/>
          <w:bCs/>
        </w:rPr>
        <w:t xml:space="preserve">Strategic Initiatives &amp; Management Commentary:</w:t>
      </w:r>
    </w:p>
    <w:p>
      <w:pPr>
        <w:spacing w:after="80"/>
      </w:pPr>
      <w:r>
        <w:t xml:space="preserve">• Simplification program consolidating operating groups and reducing organizational complexity</w:t>
      </w:r>
    </w:p>
    <w:p>
      <w:pPr>
        <w:spacing w:after="80"/>
      </w:pPr>
      <w:r>
        <w:t xml:space="preserve">• Continued Meggitt integration synergy capture in shared industrial products</w:t>
      </w:r>
    </w:p>
    <w:p>
      <w:pPr>
        <w:spacing w:after="80"/>
      </w:pPr>
      <w:r>
        <w:t xml:space="preserve">• Inventory reduction initiatives improving cash conversion (80 days inventory vs. 85 prior year)</w:t>
      </w:r>
    </w:p>
    <w:p>
      <w:pPr>
        <w:spacing w:after="80"/>
      </w:pPr>
      <w:r>
        <w:t xml:space="preserve">• Digital transformation investments in configurators, e-commerce platforms, and IoT-enabled products</w:t>
      </w:r>
    </w:p>
    <w:p>
      <w:pPr>
        <w:spacing w:after="240"/>
      </w:pPr>
      <w:r>
        <w:t xml:space="preserve">• Filtration Group acquisition announcement ($9.25B, November 2024) to significantly expand filtration capabilities</w:t>
      </w:r>
    </w:p>
    <w:p>
      <w:pPr>
        <w:spacing w:before="120" w:after="120"/>
      </w:pPr>
      <w:r>
        <w:rPr>
          <w:b/>
          <w:bCs/>
        </w:rPr>
        <w:t xml:space="preserve">Order Trends &amp; Forward Outlook:</w:t>
      </w:r>
    </w:p>
    <w:p>
      <w:pPr>
        <w:spacing w:after="120"/>
      </w:pPr>
      <w:r>
        <w:t xml:space="preserve">Order rates showed sequential improvement through FY2024, particularly in Q4, signaling potential stabilization. Management guidance for FY2025 anticipated neutral to low-single-digit organic growth in the first half with acceleration in the second half as destocking completes and industrial capital spending recovers. Aerospace &amp; defense content within the industrial segment continues showing double-digit growth. The $4.2B backlog, while down 12.6%, remains healthy at 3.5 months of revenue coverage.</w:t>
      </w:r>
    </w:p>
    <w:p>
      <w:pPr>
        <w:spacing w:before="180" w:after="80"/>
      </w:pPr>
      <w:r>
        <w:rPr>
          <w:b/>
          <w:bCs/>
          <w:sz w:val="24"/>
          <w:szCs w:val="24"/>
        </w:rPr>
        <w:t xml:space="preserve">4.1.3 Competitive Landscape</w:t>
      </w:r>
    </w:p>
    <w:p>
      <w:pPr>
        <w:spacing w:before="120" w:after="120"/>
      </w:pPr>
      <w:r>
        <w:rPr>
          <w:b/>
          <w:bCs/>
        </w:rPr>
        <w:t xml:space="preserve">Primary Competitors by Product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Competitor</w:t>
            </w:r>
          </w:p>
        </w:tc>
        <w:tc>
          <w:tcPr>
            <w:tcW w:type="dxa" w:w="328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Product Overlap</w:t>
            </w:r>
          </w:p>
        </w:tc>
        <w:tc>
          <w:tcPr>
            <w:tcW w:type="dxa" w:w="328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Competitive Position</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Bosch Rexroth (Germany)</w:t>
            </w:r>
          </w:p>
        </w:tc>
        <w:tc>
          <w:tcPr>
            <w:tcW w:type="dxa" w:w="3280"/>
            <w:tcBorders>
              <w:top w:val="single" w:color="CCCCCC" w:sz="1"/>
              <w:left w:val="single" w:color="CCCCCC" w:sz="1"/>
              <w:bottom w:val="single" w:color="CCCCCC" w:sz="1"/>
              <w:right w:val="single" w:color="CCCCCC" w:sz="1"/>
            </w:tcBorders>
          </w:tcPr>
          <w:p>
            <w:r>
              <w:rPr>
                <w:sz w:val="19"/>
                <w:szCs w:val="19"/>
              </w:rPr>
              <w:t xml:space="preserve">Hydraulics, pneumatics, electric drives, motion control</w:t>
            </w:r>
          </w:p>
        </w:tc>
        <w:tc>
          <w:tcPr>
            <w:tcW w:type="dxa" w:w="3280"/>
            <w:tcBorders>
              <w:top w:val="single" w:color="CCCCCC" w:sz="1"/>
              <w:left w:val="single" w:color="CCCCCC" w:sz="1"/>
              <w:bottom w:val="single" w:color="CCCCCC" w:sz="1"/>
              <w:right w:val="single" w:color="CCCCCC" w:sz="1"/>
            </w:tcBorders>
          </w:tcPr>
          <w:p>
            <w:r>
              <w:rPr>
                <w:sz w:val="19"/>
                <w:szCs w:val="19"/>
              </w:rPr>
              <w:t xml:space="preserve">Strong in factory automation and mobile hydraulics; limited North America distribution</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Eaton Corporation</w:t>
            </w:r>
          </w:p>
        </w:tc>
        <w:tc>
          <w:tcPr>
            <w:tcW w:type="dxa" w:w="3280"/>
            <w:tcBorders>
              <w:top w:val="single" w:color="CCCCCC" w:sz="1"/>
              <w:left w:val="single" w:color="CCCCCC" w:sz="1"/>
              <w:bottom w:val="single" w:color="CCCCCC" w:sz="1"/>
              <w:right w:val="single" w:color="CCCCCC" w:sz="1"/>
            </w:tcBorders>
          </w:tcPr>
          <w:p>
            <w:r>
              <w:rPr>
                <w:sz w:val="19"/>
                <w:szCs w:val="19"/>
              </w:rPr>
              <w:t xml:space="preserve">Hydraulics, filtration, electrical systems, vehicle components</w:t>
            </w:r>
          </w:p>
        </w:tc>
        <w:tc>
          <w:tcPr>
            <w:tcW w:type="dxa" w:w="3280"/>
            <w:tcBorders>
              <w:top w:val="single" w:color="CCCCCC" w:sz="1"/>
              <w:left w:val="single" w:color="CCCCCC" w:sz="1"/>
              <w:bottom w:val="single" w:color="CCCCCC" w:sz="1"/>
              <w:right w:val="single" w:color="CCCCCC" w:sz="1"/>
            </w:tcBorders>
          </w:tcPr>
          <w:p>
            <w:r>
              <w:rPr>
                <w:sz w:val="19"/>
                <w:szCs w:val="19"/>
              </w:rPr>
              <w:t xml:space="preserve">Broader diversification into electrical; strong mobile hydraulics presence</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Danfoss (Denmark)</w:t>
            </w:r>
          </w:p>
        </w:tc>
        <w:tc>
          <w:tcPr>
            <w:tcW w:type="dxa" w:w="3280"/>
            <w:tcBorders>
              <w:top w:val="single" w:color="CCCCCC" w:sz="1"/>
              <w:left w:val="single" w:color="CCCCCC" w:sz="1"/>
              <w:bottom w:val="single" w:color="CCCCCC" w:sz="1"/>
              <w:right w:val="single" w:color="CCCCCC" w:sz="1"/>
            </w:tcBorders>
          </w:tcPr>
          <w:p>
            <w:r>
              <w:rPr>
                <w:sz w:val="19"/>
                <w:szCs w:val="19"/>
              </w:rPr>
              <w:t xml:space="preserve">Hydraulics, drives, controls, refrigeration components</w:t>
            </w:r>
          </w:p>
        </w:tc>
        <w:tc>
          <w:tcPr>
            <w:tcW w:type="dxa" w:w="3280"/>
            <w:tcBorders>
              <w:top w:val="single" w:color="CCCCCC" w:sz="1"/>
              <w:left w:val="single" w:color="CCCCCC" w:sz="1"/>
              <w:bottom w:val="single" w:color="CCCCCC" w:sz="1"/>
              <w:right w:val="single" w:color="CCCCCC" w:sz="1"/>
            </w:tcBorders>
          </w:tcPr>
          <w:p>
            <w:r>
              <w:rPr>
                <w:sz w:val="19"/>
                <w:szCs w:val="19"/>
              </w:rPr>
              <w:t xml:space="preserve">Market leader in HVAC/R controls; strong European industrial presence</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Donaldson Company</w:t>
            </w:r>
          </w:p>
        </w:tc>
        <w:tc>
          <w:tcPr>
            <w:tcW w:type="dxa" w:w="3280"/>
            <w:tcBorders>
              <w:top w:val="single" w:color="CCCCCC" w:sz="1"/>
              <w:left w:val="single" w:color="CCCCCC" w:sz="1"/>
              <w:bottom w:val="single" w:color="CCCCCC" w:sz="1"/>
              <w:right w:val="single" w:color="CCCCCC" w:sz="1"/>
            </w:tcBorders>
          </w:tcPr>
          <w:p>
            <w:r>
              <w:rPr>
                <w:sz w:val="19"/>
                <w:szCs w:val="19"/>
              </w:rPr>
              <w:t xml:space="preserve">Filtration (engine, industrial, aerospace)</w:t>
            </w:r>
          </w:p>
        </w:tc>
        <w:tc>
          <w:tcPr>
            <w:tcW w:type="dxa" w:w="3280"/>
            <w:tcBorders>
              <w:top w:val="single" w:color="CCCCCC" w:sz="1"/>
              <w:left w:val="single" w:color="CCCCCC" w:sz="1"/>
              <w:bottom w:val="single" w:color="CCCCCC" w:sz="1"/>
              <w:right w:val="single" w:color="CCCCCC" w:sz="1"/>
            </w:tcBorders>
          </w:tcPr>
          <w:p>
            <w:r>
              <w:rPr>
                <w:sz w:val="19"/>
                <w:szCs w:val="19"/>
              </w:rPr>
              <w:t xml:space="preserve">Pure-play filtration leader; narrower product scope than Parker</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SMC Corporation (Japan)</w:t>
            </w:r>
          </w:p>
        </w:tc>
        <w:tc>
          <w:tcPr>
            <w:tcW w:type="dxa" w:w="3280"/>
            <w:tcBorders>
              <w:top w:val="single" w:color="CCCCCC" w:sz="1"/>
              <w:left w:val="single" w:color="CCCCCC" w:sz="1"/>
              <w:bottom w:val="single" w:color="CCCCCC" w:sz="1"/>
              <w:right w:val="single" w:color="CCCCCC" w:sz="1"/>
            </w:tcBorders>
          </w:tcPr>
          <w:p>
            <w:r>
              <w:rPr>
                <w:sz w:val="19"/>
                <w:szCs w:val="19"/>
              </w:rPr>
              <w:t xml:space="preserve">Pneumatic actuators, valves, air preparation equipment</w:t>
            </w:r>
          </w:p>
        </w:tc>
        <w:tc>
          <w:tcPr>
            <w:tcW w:type="dxa" w:w="3280"/>
            <w:tcBorders>
              <w:top w:val="single" w:color="CCCCCC" w:sz="1"/>
              <w:left w:val="single" w:color="CCCCCC" w:sz="1"/>
              <w:bottom w:val="single" w:color="CCCCCC" w:sz="1"/>
              <w:right w:val="single" w:color="CCCCCC" w:sz="1"/>
            </w:tcBorders>
          </w:tcPr>
          <w:p>
            <w:r>
              <w:rPr>
                <w:sz w:val="19"/>
                <w:szCs w:val="19"/>
              </w:rPr>
              <w:t xml:space="preserve">Dominant Asia pneumatics player; aggressive pricing but limited systems integration</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Festo (Germany)</w:t>
            </w:r>
          </w:p>
        </w:tc>
        <w:tc>
          <w:tcPr>
            <w:tcW w:type="dxa" w:w="3280"/>
            <w:tcBorders>
              <w:top w:val="single" w:color="CCCCCC" w:sz="1"/>
              <w:left w:val="single" w:color="CCCCCC" w:sz="1"/>
              <w:bottom w:val="single" w:color="CCCCCC" w:sz="1"/>
              <w:right w:val="single" w:color="CCCCCC" w:sz="1"/>
            </w:tcBorders>
          </w:tcPr>
          <w:p>
            <w:r>
              <w:rPr>
                <w:sz w:val="19"/>
                <w:szCs w:val="19"/>
              </w:rPr>
              <w:t xml:space="preserve">Pneumatic automation, process valves, industrial training</w:t>
            </w:r>
          </w:p>
        </w:tc>
        <w:tc>
          <w:tcPr>
            <w:tcW w:type="dxa" w:w="3280"/>
            <w:tcBorders>
              <w:top w:val="single" w:color="CCCCCC" w:sz="1"/>
              <w:left w:val="single" w:color="CCCCCC" w:sz="1"/>
              <w:bottom w:val="single" w:color="CCCCCC" w:sz="1"/>
              <w:right w:val="single" w:color="CCCCCC" w:sz="1"/>
            </w:tcBorders>
          </w:tcPr>
          <w:p>
            <w:r>
              <w:rPr>
                <w:sz w:val="19"/>
                <w:szCs w:val="19"/>
              </w:rPr>
              <w:t xml:space="preserve">Innovation leader in pneumatics and Industry 4.0; premium pricing</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Swagelok (US)</w:t>
            </w:r>
          </w:p>
        </w:tc>
        <w:tc>
          <w:tcPr>
            <w:tcW w:type="dxa" w:w="3280"/>
            <w:tcBorders>
              <w:top w:val="single" w:color="CCCCCC" w:sz="1"/>
              <w:left w:val="single" w:color="CCCCCC" w:sz="1"/>
              <w:bottom w:val="single" w:color="CCCCCC" w:sz="1"/>
              <w:right w:val="single" w:color="CCCCCC" w:sz="1"/>
            </w:tcBorders>
          </w:tcPr>
          <w:p>
            <w:r>
              <w:rPr>
                <w:sz w:val="19"/>
                <w:szCs w:val="19"/>
              </w:rPr>
              <w:t xml:space="preserve">Tube fittings, valves, regulators for fluid systems</w:t>
            </w:r>
          </w:p>
        </w:tc>
        <w:tc>
          <w:tcPr>
            <w:tcW w:type="dxa" w:w="3280"/>
            <w:tcBorders>
              <w:top w:val="single" w:color="CCCCCC" w:sz="1"/>
              <w:left w:val="single" w:color="CCCCCC" w:sz="1"/>
              <w:bottom w:val="single" w:color="CCCCCC" w:sz="1"/>
              <w:right w:val="single" w:color="CCCCCC" w:sz="1"/>
            </w:tcBorders>
          </w:tcPr>
          <w:p>
            <w:r>
              <w:rPr>
                <w:sz w:val="19"/>
                <w:szCs w:val="19"/>
              </w:rPr>
              <w:t xml:space="preserve">Premium brand in instrumentation fittings; narrower product range</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Emerson Electric</w:t>
            </w:r>
          </w:p>
        </w:tc>
        <w:tc>
          <w:tcPr>
            <w:tcW w:type="dxa" w:w="3280"/>
            <w:tcBorders>
              <w:top w:val="single" w:color="CCCCCC" w:sz="1"/>
              <w:left w:val="single" w:color="CCCCCC" w:sz="1"/>
              <w:bottom w:val="single" w:color="CCCCCC" w:sz="1"/>
              <w:right w:val="single" w:color="CCCCCC" w:sz="1"/>
            </w:tcBorders>
          </w:tcPr>
          <w:p>
            <w:r>
              <w:rPr>
                <w:sz w:val="19"/>
                <w:szCs w:val="19"/>
              </w:rPr>
              <w:t xml:space="preserve">Process automation, valves (ASCO), climate technologies</w:t>
            </w:r>
          </w:p>
        </w:tc>
        <w:tc>
          <w:tcPr>
            <w:tcW w:type="dxa" w:w="3280"/>
            <w:tcBorders>
              <w:top w:val="single" w:color="CCCCCC" w:sz="1"/>
              <w:left w:val="single" w:color="CCCCCC" w:sz="1"/>
              <w:bottom w:val="single" w:color="CCCCCC" w:sz="1"/>
              <w:right w:val="single" w:color="CCCCCC" w:sz="1"/>
            </w:tcBorders>
          </w:tcPr>
          <w:p>
            <w:r>
              <w:rPr>
                <w:sz w:val="19"/>
                <w:szCs w:val="19"/>
              </w:rPr>
              <w:t xml:space="preserve">Broader automation/software focus; strong process industries presence</w:t>
            </w:r>
          </w:p>
        </w:tc>
      </w:tr>
    </w:tbl>
    <w:p>
      <w:pPr>
        <w:spacing w:before="180" w:after="120"/>
      </w:pPr>
      <w:r>
        <w:rPr>
          <w:b/>
          <w:bCs/>
        </w:rPr>
        <w:t xml:space="preserve">Competitive Advantages:</w:t>
      </w:r>
    </w:p>
    <w:p>
      <w:pPr>
        <w:spacing w:after="80"/>
      </w:pPr>
      <w:r>
        <w:t xml:space="preserve">• Unmatched breadth: Only competitor offering integrated solutions across 8+ core technologies</w:t>
      </w:r>
    </w:p>
    <w:p>
      <w:pPr>
        <w:spacing w:after="80"/>
      </w:pPr>
      <w:r>
        <w:t xml:space="preserve">• Distribution network: ~17,100 independent distributors plus ParkerStores provide unrivaled local presence</w:t>
      </w:r>
    </w:p>
    <w:p>
      <w:pPr>
        <w:spacing w:after="80"/>
      </w:pPr>
      <w:r>
        <w:t xml:space="preserve">• Systems integration: Two-thirds of customers buy 4+ Parker technologies, creating high switching costs</w:t>
      </w:r>
    </w:p>
    <w:p>
      <w:pPr>
        <w:spacing w:after="80"/>
      </w:pPr>
      <w:r>
        <w:t xml:space="preserve">• Aftermarket dominance: Installed base and standardized components generate recurring revenue streams</w:t>
      </w:r>
    </w:p>
    <w:p>
      <w:pPr>
        <w:spacing w:after="80"/>
      </w:pPr>
      <w:r>
        <w:t xml:space="preserve">• Engineering expertise: 8,000+ engineers enabling design-in partnerships with OEMs</w:t>
      </w:r>
    </w:p>
    <w:p>
      <w:pPr>
        <w:spacing w:after="240"/>
      </w:pPr>
      <w:r>
        <w:t xml:space="preserve">• Global manufacturing: 335 plants enable local-for-local production and rapid response</w:t>
      </w:r>
    </w:p>
    <w:p>
      <w:pPr>
        <w:spacing w:after="120"/>
      </w:pPr>
      <w:r>
        <w:rPr>
          <w:b/>
          <w:bCs/>
        </w:rPr>
        <w:t xml:space="preserve">Competitive Pressures:</w:t>
      </w:r>
    </w:p>
    <w:p>
      <w:pPr>
        <w:spacing w:after="80"/>
      </w:pPr>
      <w:r>
        <w:t xml:space="preserve">• Price competition from lower-cost Asian manufacturers in commoditized pneumatics and fittings</w:t>
      </w:r>
    </w:p>
    <w:p>
      <w:pPr>
        <w:spacing w:after="80"/>
      </w:pPr>
      <w:r>
        <w:t xml:space="preserve">• Technology disruption from electrification reducing hydraulics content in mobile applications</w:t>
      </w:r>
    </w:p>
    <w:p>
      <w:pPr>
        <w:spacing w:after="80"/>
      </w:pPr>
      <w:r>
        <w:t xml:space="preserve">• Digital transformation enabling competitors to offer IoT-connected products and predictive maintenance</w:t>
      </w:r>
    </w:p>
    <w:p>
      <w:pPr>
        <w:spacing w:after="120"/>
      </w:pPr>
      <w:r>
        <w:t xml:space="preserve">• M&amp;A consolidation intensifying as larger players (Eaton, Emerson, Schneider) pursue scale</w:t>
      </w:r>
    </w:p>
    <w:p>
      <w:pPr>
        <w:pStyle w:val="Heading2"/>
        <w:spacing w:before="240"/>
      </w:pPr>
      <w:r>
        <w:t xml:space="preserve">4.2 Aerospace Systems Segment</w:t>
      </w:r>
    </w:p>
    <w:p>
      <w:pPr>
        <w:spacing w:before="120" w:after="80"/>
      </w:pPr>
      <w:r>
        <w:rPr>
          <w:b/>
          <w:bCs/>
          <w:sz w:val="24"/>
          <w:szCs w:val="24"/>
        </w:rPr>
        <w:t xml:space="preserve">4.2.1 Financial Snapshot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870"/>
        <w:gridCol w:w="1870"/>
        <w:gridCol w:w="187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FY2024</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FY2023</w:t>
            </w:r>
          </w:p>
        </w:tc>
        <w:tc>
          <w:tcPr>
            <w:tcW w:type="dxa" w:w="187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YoY Change</w:t>
            </w:r>
          </w:p>
        </w:tc>
      </w:tr>
      <w:tr>
        <w:tc>
          <w:tcPr>
            <w:tcW w:type="dxa" w:w="3120"/>
            <w:tcBorders>
              <w:top w:val="single" w:color="CCCCCC" w:sz="1"/>
              <w:left w:val="single" w:color="CCCCCC" w:sz="1"/>
              <w:bottom w:val="single" w:color="CCCCCC" w:sz="1"/>
              <w:right w:val="single" w:color="CCCCCC" w:sz="1"/>
            </w:tcBorders>
          </w:tcPr>
          <w:p>
            <w:r>
              <w:rPr>
                <w:b/>
                <w:bCs/>
              </w:rPr>
              <w:t xml:space="preserve">Total Segment Sales</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$5,472M</w:t>
            </w:r>
          </w:p>
        </w:tc>
        <w:tc>
          <w:tcPr>
            <w:tcW w:type="dxa" w:w="1870"/>
            <w:tcBorders>
              <w:top w:val="single" w:color="CCCCCC" w:sz="1"/>
              <w:left w:val="single" w:color="CCCCCC" w:sz="1"/>
              <w:bottom w:val="single" w:color="CCCCCC" w:sz="1"/>
              <w:right w:val="single" w:color="CCCCCC" w:sz="1"/>
            </w:tcBorders>
          </w:tcPr>
          <w:p>
            <w:pPr>
              <w:jc w:val="right"/>
            </w:pPr>
            <w:r>
              <w:t xml:space="preserve">$4,360M</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+25.5%</w:t>
            </w:r>
          </w:p>
        </w:tc>
      </w:tr>
      <w:tr>
        <w:tc>
          <w:tcPr>
            <w:tcW w:type="dxa" w:w="3120"/>
            <w:tcBorders>
              <w:top w:val="single" w:color="CCCCCC" w:sz="1"/>
              <w:left w:val="single" w:color="CCCCCC" w:sz="1"/>
              <w:bottom w:val="single" w:color="CCCCCC" w:sz="1"/>
              <w:right w:val="single" w:color="CCCCCC" w:sz="1"/>
            </w:tcBorders>
          </w:tcPr>
          <w:p>
            <w:r>
              <w:t xml:space="preserve">Organic Growth (ex-acquisitions/FX)</w:t>
            </w:r>
          </w:p>
        </w:tc>
        <w:tc>
          <w:tcPr>
            <w:tcW w:type="dxa" w:w="1870"/>
            <w:tcBorders>
              <w:top w:val="single" w:color="CCCCCC" w:sz="1"/>
              <w:left w:val="single" w:color="CCCCCC" w:sz="1"/>
              <w:bottom w:val="single" w:color="CCCCCC" w:sz="1"/>
              <w:right w:val="single" w:color="CCCCCC" w:sz="1"/>
            </w:tcBorders>
          </w:tcPr>
          <w:p>
            <w:pPr>
              <w:jc w:val="right"/>
            </w:pPr>
            <w:r>
              <w:t xml:space="preserve">~17%</w:t>
            </w:r>
          </w:p>
        </w:tc>
        <w:tc>
          <w:tcPr>
            <w:tcW w:type="dxa" w:w="1870"/>
            <w:tcBorders>
              <w:top w:val="single" w:color="CCCCCC" w:sz="1"/>
              <w:left w:val="single" w:color="CCCCCC" w:sz="1"/>
              <w:bottom w:val="single" w:color="CCCCCC" w:sz="1"/>
              <w:right w:val="single" w:color="CCCCCC" w:sz="1"/>
            </w:tcBorders>
          </w:tcPr>
          <w:p>
            <w:pPr>
              <w:jc w:val="right"/>
            </w:pPr>
            <w:r>
              <w:t xml:space="preserve">–</w:t>
            </w:r>
          </w:p>
        </w:tc>
        <w:tc>
          <w:tcPr>
            <w:tcW w:type="dxa" w:w="1870"/>
            <w:tcBorders>
              <w:top w:val="single" w:color="CCCCCC" w:sz="1"/>
              <w:left w:val="single" w:color="CCCCCC" w:sz="1"/>
              <w:bottom w:val="single" w:color="CCCCCC" w:sz="1"/>
              <w:right w:val="single" w:color="CCCCCC" w:sz="1"/>
            </w:tcBorders>
          </w:tcPr>
          <w:p>
            <w:pPr>
              <w:jc w:val="right"/>
            </w:pPr>
            <w:r>
              <w:t xml:space="preserve">–</w:t>
            </w:r>
          </w:p>
        </w:tc>
      </w:tr>
      <w:tr>
        <w:tc>
          <w:tcPr>
            <w:tcW w:type="dxa" w:w="3120"/>
            <w:tcBorders>
              <w:top w:val="single" w:color="CCCCCC" w:sz="1"/>
              <w:left w:val="single" w:color="CCCCCC" w:sz="1"/>
              <w:bottom w:val="single" w:color="CCCCCC" w:sz="1"/>
              <w:right w:val="single" w:color="CCCCCC" w:sz="1"/>
            </w:tcBorders>
          </w:tcPr>
          <w:p>
            <w:r>
              <w:rPr>
                <w:b/>
                <w:bCs/>
              </w:rPr>
              <w:t xml:space="preserve">Segment Operating Income</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$1,111M</w:t>
            </w:r>
          </w:p>
        </w:tc>
        <w:tc>
          <w:tcPr>
            <w:tcW w:type="dxa" w:w="1870"/>
            <w:tcBorders>
              <w:top w:val="single" w:color="CCCCCC" w:sz="1"/>
              <w:left w:val="single" w:color="CCCCCC" w:sz="1"/>
              <w:bottom w:val="single" w:color="CCCCCC" w:sz="1"/>
              <w:right w:val="single" w:color="CCCCCC" w:sz="1"/>
            </w:tcBorders>
          </w:tcPr>
          <w:p>
            <w:pPr>
              <w:jc w:val="right"/>
            </w:pPr>
            <w:r>
              <w:t xml:space="preserve">$562M</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+97.7%</w:t>
            </w:r>
          </w:p>
        </w:tc>
      </w:tr>
      <w:tr>
        <w:tc>
          <w:tcPr>
            <w:tcW w:type="dxa" w:w="3120"/>
            <w:tcBorders>
              <w:top w:val="single" w:color="CCCCCC" w:sz="1"/>
              <w:left w:val="single" w:color="CCCCCC" w:sz="1"/>
              <w:bottom w:val="single" w:color="CCCCCC" w:sz="1"/>
              <w:right w:val="single" w:color="CCCCCC" w:sz="1"/>
            </w:tcBorders>
          </w:tcPr>
          <w:p>
            <w:r>
              <w:rPr>
                <w:b/>
                <w:bCs/>
              </w:rPr>
              <w:t xml:space="preserve">Segment Operating Margin</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20.3%</w:t>
            </w:r>
          </w:p>
        </w:tc>
        <w:tc>
          <w:tcPr>
            <w:tcW w:type="dxa" w:w="1870"/>
            <w:tcBorders>
              <w:top w:val="single" w:color="CCCCCC" w:sz="1"/>
              <w:left w:val="single" w:color="CCCCCC" w:sz="1"/>
              <w:bottom w:val="single" w:color="CCCCCC" w:sz="1"/>
              <w:right w:val="single" w:color="CCCCCC" w:sz="1"/>
            </w:tcBorders>
          </w:tcPr>
          <w:p>
            <w:pPr>
              <w:jc w:val="right"/>
            </w:pPr>
            <w:r>
              <w:t xml:space="preserve">12.9%</w:t>
            </w:r>
          </w:p>
        </w:tc>
        <w:tc>
          <w:tcPr>
            <w:tcW w:type="dxa" w:w="1870"/>
            <w:tcBorders>
              <w:top w:val="single" w:color="CCCCCC" w:sz="1"/>
              <w:left w:val="single" w:color="CCCCCC" w:sz="1"/>
              <w:bottom w:val="single" w:color="CCCCCC" w:sz="1"/>
              <w:right w:val="single" w:color="CCCCCC" w:sz="1"/>
            </w:tcBorders>
            <w:shd w:fill="FFF2CC" w:val="clear"/>
          </w:tcPr>
          <w:p>
            <w:pPr>
              <w:jc w:val="right"/>
            </w:pPr>
            <w:r>
              <w:rPr>
                <w:b/>
                <w:bCs/>
              </w:rPr>
              <w:t xml:space="preserve">+740 bps</w:t>
            </w:r>
          </w:p>
        </w:tc>
      </w:tr>
      <w:tr>
        <w:tc>
          <w:tcPr>
            <w:tcW w:type="dxa" w:w="3120"/>
            <w:tcBorders>
              <w:top w:val="single" w:color="CCCCCC" w:sz="1"/>
              <w:left w:val="single" w:color="CCCCCC" w:sz="1"/>
              <w:bottom w:val="single" w:color="CCCCCC" w:sz="1"/>
              <w:right w:val="single" w:color="CCCCCC" w:sz="1"/>
            </w:tcBorders>
          </w:tcPr>
          <w:p>
            <w:r>
              <w:t xml:space="preserve">Segment Backlog</w:t>
            </w:r>
          </w:p>
        </w:tc>
        <w:tc>
          <w:tcPr>
            <w:tcW w:type="dxa" w:w="1870"/>
            <w:tcBorders>
              <w:top w:val="single" w:color="CCCCCC" w:sz="1"/>
              <w:left w:val="single" w:color="CCCCCC" w:sz="1"/>
              <w:bottom w:val="single" w:color="CCCCCC" w:sz="1"/>
              <w:right w:val="single" w:color="CCCCCC" w:sz="1"/>
            </w:tcBorders>
          </w:tcPr>
          <w:p>
            <w:pPr>
              <w:jc w:val="right"/>
            </w:pPr>
            <w:r>
              <w:t xml:space="preserve">$6,680M</w:t>
            </w:r>
          </w:p>
        </w:tc>
        <w:tc>
          <w:tcPr>
            <w:tcW w:type="dxa" w:w="1870"/>
            <w:tcBorders>
              <w:top w:val="single" w:color="CCCCCC" w:sz="1"/>
              <w:left w:val="single" w:color="CCCCCC" w:sz="1"/>
              <w:bottom w:val="single" w:color="CCCCCC" w:sz="1"/>
              <w:right w:val="single" w:color="CCCCCC" w:sz="1"/>
            </w:tcBorders>
          </w:tcPr>
          <w:p>
            <w:pPr>
              <w:jc w:val="right"/>
            </w:pPr>
            <w:r>
              <w:t xml:space="preserve">$6,201M</w:t>
            </w:r>
          </w:p>
        </w:tc>
        <w:tc>
          <w:tcPr>
            <w:tcW w:type="dxa" w:w="1870"/>
            <w:tcBorders>
              <w:top w:val="single" w:color="CCCCCC" w:sz="1"/>
              <w:left w:val="single" w:color="CCCCCC" w:sz="1"/>
              <w:bottom w:val="single" w:color="CCCCCC" w:sz="1"/>
              <w:right w:val="single" w:color="CCCCCC" w:sz="1"/>
            </w:tcBorders>
          </w:tcPr>
          <w:p>
            <w:pPr>
              <w:jc w:val="right"/>
            </w:pPr>
            <w:r>
              <w:t xml:space="preserve">+7.7%</w:t>
            </w:r>
          </w:p>
        </w:tc>
      </w:tr>
    </w:tbl>
    <w:p>
      <w:pPr>
        <w:spacing w:before="180" w:after="80"/>
      </w:pPr>
      <w:r>
        <w:rPr>
          <w:b/>
          <w:bCs/>
          <w:sz w:val="24"/>
          <w:szCs w:val="24"/>
        </w:rPr>
        <w:t xml:space="preserve">4.2.2 Performance Analysis</w:t>
      </w:r>
    </w:p>
    <w:p>
      <w:pPr>
        <w:spacing w:before="120" w:after="120"/>
      </w:pPr>
      <w:r>
        <w:rPr>
          <w:b/>
          <w:bCs/>
        </w:rPr>
        <w:t xml:space="preserve">Exceptional Growth Trajectory:</w:t>
      </w:r>
    </w:p>
    <w:p>
      <w:pPr>
        <w:spacing w:after="120"/>
      </w:pPr>
      <w:r>
        <w:t xml:space="preserve">The Aerospace Systems Segment delivered outstanding FY2024 performance with total sales growth of 25.5% and organic growth of approximately 17%. The Meggitt acquisition contributed $386M while favorable foreign exchange added $19M. Divestiture of the aircraft wheel and brake business to Kaman Corporation reduced sales by $40M. The segment has effectively doubled in size since FY2020 ($2.7B to $5.5B), establishing Parker as a top-tier aerospace systems supplier.</w:t>
      </w:r>
    </w:p>
    <w:p>
      <w:pPr>
        <w:spacing w:before="120" w:after="120"/>
      </w:pPr>
      <w:r>
        <w:rPr>
          <w:b/>
          <w:bCs/>
        </w:rPr>
        <w:t xml:space="preserve">Revenue Mix by Market Platform:</w:t>
      </w:r>
    </w:p>
    <w:p>
      <w:pPr>
        <w:spacing w:after="80"/>
      </w:pPr>
      <w:r>
        <w:t xml:space="preserve">• Commercial OEM: Strong double-digit growth driven by Boeing 737 MAX ramp, Airbus A320neo family production increases, and wide-body recovery</w:t>
      </w:r>
    </w:p>
    <w:p>
      <w:pPr>
        <w:spacing w:after="80"/>
      </w:pPr>
      <w:r>
        <w:t xml:space="preserve">• Commercial Aftermarket: High-teens growth as air travel reached 102% of pre-COVID levels; shop visits normalizing</w:t>
      </w:r>
    </w:p>
    <w:p>
      <w:pPr>
        <w:spacing w:after="80"/>
      </w:pPr>
      <w:r>
        <w:t xml:space="preserve">• Defense OEM: Mid-single-digit growth on F-35, CH-47 Chinook, and various UAV programs</w:t>
      </w:r>
    </w:p>
    <w:p>
      <w:pPr>
        <w:spacing w:after="80"/>
      </w:pPr>
      <w:r>
        <w:t xml:space="preserve">• Defense Aftermarket: Low-double-digit growth driven by readiness initiatives and aging fleet maintenance</w:t>
      </w:r>
    </w:p>
    <w:p>
      <w:pPr>
        <w:spacing w:after="240"/>
      </w:pPr>
      <w:r>
        <w:t xml:space="preserve">• Business &amp; Regional Aviation: Modest growth as business jet deliveries remained solid</w:t>
      </w:r>
    </w:p>
    <w:p>
      <w:pPr>
        <w:spacing w:after="120"/>
      </w:pPr>
      <w:r>
        <w:rPr>
          <w:b/>
          <w:bCs/>
        </w:rPr>
        <w:t xml:space="preserve">Dramatic Margin Expansion:</w:t>
      </w:r>
    </w:p>
    <w:p>
      <w:pPr>
        <w:spacing w:after="120"/>
      </w:pPr>
      <w:r>
        <w:t xml:space="preserve">Operating margin expanded an impressive 740 basis points to 20.3%, driven by: (1) Volume leverage on fixed costs as production rates increased, (2) Favorable aftermarket mix (higher margin than OEM), (3) Meggitt synergy capture ahead of plan ($160M run-rate by FY2024 vs. $140M target), (4) Elimination of FY2023 Meggitt inventory step-up charges ($110M), (5) Reduced integration expenses ($55M savings YoY), and (6) Operational improvements through Win Strategy application. The segment exited FY2024 with quarterly margins exceeding 22%, demonstrating sustained performance.</w:t>
      </w:r>
    </w:p>
    <w:p>
      <w:pPr>
        <w:spacing w:before="120" w:after="120"/>
      </w:pPr>
      <w:r>
        <w:rPr>
          <w:b/>
          <w:bCs/>
        </w:rPr>
        <w:t xml:space="preserve">Platform Positioning &amp; Content Growth:</w:t>
      </w:r>
    </w:p>
    <w:p>
      <w:pPr>
        <w:spacing w:after="120"/>
      </w:pPr>
      <w:r>
        <w:t xml:space="preserve">Parker maintains content on virtually all major commercial and military aircraft platforms globally. Key positions include primary flight control systems on Boeing 737 and 787, fuel systems on Airbus A320neo family, hydraulic power generation on F-35, and environmental control systems on CH-47. The company's bill of materials is expanding with more-electric aircraft architecture, as hydraulic, fuel, thermal management, and electrical power distribution systems become more integrated. Parker estimates 1.5-2x content increase on next-generation platforms compared to predecessor aircraft.</w:t>
      </w:r>
    </w:p>
    <w:p>
      <w:pPr>
        <w:spacing w:before="120" w:after="120"/>
      </w:pPr>
      <w:r>
        <w:rPr>
          <w:b/>
          <w:bCs/>
        </w:rPr>
        <w:t xml:space="preserve">Meggitt Integration Success:</w:t>
      </w:r>
    </w:p>
    <w:p>
      <w:pPr>
        <w:spacing w:after="120"/>
      </w:pPr>
      <w:r>
        <w:t xml:space="preserve">The $8.3B Meggitt acquisition has proven highly successful with integration completing ahead of original timeline. Complementary product portfolios (Parker: hydraulics, fuel systems, flight controls; Meggitt: wheels &amp; brakes, fire protection, sensing) created minimal overlap. Cultural alignment around engineering excellence and aftermarket service facilitated smooth integration. Synergies exceeded targets through procurement savings, manufacturing footprint optimization, and commercial cross-selling. The divestiture of Meggitt's wheels &amp; brakes business (non-core) for $440M further streamlined the portfolio.</w:t>
      </w:r>
    </w:p>
    <w:p>
      <w:pPr>
        <w:spacing w:before="180" w:after="80"/>
      </w:pPr>
      <w:r>
        <w:rPr>
          <w:b/>
          <w:bCs/>
          <w:sz w:val="24"/>
          <w:szCs w:val="24"/>
        </w:rPr>
        <w:t xml:space="preserve">4.2.3 Competitive Landscape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Competitor</w:t>
            </w:r>
          </w:p>
        </w:tc>
        <w:tc>
          <w:tcPr>
            <w:tcW w:type="dxa" w:w="328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Product Overlap</w:t>
            </w:r>
          </w:p>
        </w:tc>
        <w:tc>
          <w:tcPr>
            <w:tcW w:type="dxa" w:w="328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Competitive Position</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Honeywell Aerospace</w:t>
            </w:r>
          </w:p>
        </w:tc>
        <w:tc>
          <w:tcPr>
            <w:tcW w:type="dxa" w:w="3280"/>
            <w:tcBorders>
              <w:top w:val="single" w:color="CCCCCC" w:sz="1"/>
              <w:left w:val="single" w:color="CCCCCC" w:sz="1"/>
              <w:bottom w:val="single" w:color="CCCCCC" w:sz="1"/>
              <w:right w:val="single" w:color="CCCCCC" w:sz="1"/>
            </w:tcBorders>
          </w:tcPr>
          <w:p>
            <w:r>
              <w:rPr>
                <w:sz w:val="19"/>
                <w:szCs w:val="19"/>
              </w:rPr>
              <w:t xml:space="preserve">Auxiliary power units, environmental controls, avionics, wheels &amp; brakes</w:t>
            </w:r>
          </w:p>
        </w:tc>
        <w:tc>
          <w:tcPr>
            <w:tcW w:type="dxa" w:w="3280"/>
            <w:tcBorders>
              <w:top w:val="single" w:color="CCCCCC" w:sz="1"/>
              <w:left w:val="single" w:color="CCCCCC" w:sz="1"/>
              <w:bottom w:val="single" w:color="CCCCCC" w:sz="1"/>
              <w:right w:val="single" w:color="CCCCCC" w:sz="1"/>
            </w:tcBorders>
          </w:tcPr>
          <w:p>
            <w:r>
              <w:rPr>
                <w:sz w:val="19"/>
                <w:szCs w:val="19"/>
              </w:rPr>
              <w:t xml:space="preserve">Larger aerospace revenue ($15B); broader avionics/electronics capabilities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Collins Aerospace (RTX)</w:t>
            </w:r>
          </w:p>
        </w:tc>
        <w:tc>
          <w:tcPr>
            <w:tcW w:type="dxa" w:w="3280"/>
            <w:tcBorders>
              <w:top w:val="single" w:color="CCCCCC" w:sz="1"/>
              <w:left w:val="single" w:color="CCCCCC" w:sz="1"/>
              <w:bottom w:val="single" w:color="CCCCCC" w:sz="1"/>
              <w:right w:val="single" w:color="CCCCCC" w:sz="1"/>
            </w:tcBorders>
          </w:tcPr>
          <w:p>
            <w:r>
              <w:rPr>
                <w:sz w:val="19"/>
                <w:szCs w:val="19"/>
              </w:rPr>
              <w:t xml:space="preserve">Actuation, landing systems, avionics, interiors, power &amp; controls</w:t>
            </w:r>
          </w:p>
        </w:tc>
        <w:tc>
          <w:tcPr>
            <w:tcW w:type="dxa" w:w="3280"/>
            <w:tcBorders>
              <w:top w:val="single" w:color="CCCCCC" w:sz="1"/>
              <w:left w:val="single" w:color="CCCCCC" w:sz="1"/>
              <w:bottom w:val="single" w:color="CCCCCC" w:sz="1"/>
              <w:right w:val="single" w:color="CCCCCC" w:sz="1"/>
            </w:tcBorders>
          </w:tcPr>
          <w:p>
            <w:r>
              <w:rPr>
                <w:sz w:val="19"/>
                <w:szCs w:val="19"/>
              </w:rPr>
              <w:t xml:space="preserve">Vertically integrated; strongest in avionics and cabin systems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Safran (France)</w:t>
            </w:r>
          </w:p>
        </w:tc>
        <w:tc>
          <w:tcPr>
            <w:tcW w:type="dxa" w:w="3280"/>
            <w:tcBorders>
              <w:top w:val="single" w:color="CCCCCC" w:sz="1"/>
              <w:left w:val="single" w:color="CCCCCC" w:sz="1"/>
              <w:bottom w:val="single" w:color="CCCCCC" w:sz="1"/>
              <w:right w:val="single" w:color="CCCCCC" w:sz="1"/>
            </w:tcBorders>
          </w:tcPr>
          <w:p>
            <w:r>
              <w:rPr>
                <w:sz w:val="19"/>
                <w:szCs w:val="19"/>
              </w:rPr>
              <w:t xml:space="preserve">Landing gear, brakes, fuel systems, nacelles, cabin equipment</w:t>
            </w:r>
          </w:p>
        </w:tc>
        <w:tc>
          <w:tcPr>
            <w:tcW w:type="dxa" w:w="3280"/>
            <w:tcBorders>
              <w:top w:val="single" w:color="CCCCCC" w:sz="1"/>
              <w:left w:val="single" w:color="CCCCCC" w:sz="1"/>
              <w:bottom w:val="single" w:color="CCCCCC" w:sz="1"/>
              <w:right w:val="single" w:color="CCCCCC" w:sz="1"/>
            </w:tcBorders>
          </w:tcPr>
          <w:p>
            <w:r>
              <w:rPr>
                <w:sz w:val="19"/>
                <w:szCs w:val="19"/>
              </w:rPr>
              <w:t xml:space="preserve">Strong European OEM relationships; joint ventures with GE on engines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Moog Inc.</w:t>
            </w:r>
          </w:p>
        </w:tc>
        <w:tc>
          <w:tcPr>
            <w:tcW w:type="dxa" w:w="3280"/>
            <w:tcBorders>
              <w:top w:val="single" w:color="CCCCCC" w:sz="1"/>
              <w:left w:val="single" w:color="CCCCCC" w:sz="1"/>
              <w:bottom w:val="single" w:color="CCCCCC" w:sz="1"/>
              <w:right w:val="single" w:color="CCCCCC" w:sz="1"/>
            </w:tcBorders>
          </w:tcPr>
          <w:p>
            <w:r>
              <w:rPr>
                <w:sz w:val="19"/>
                <w:szCs w:val="19"/>
              </w:rPr>
              <w:t xml:space="preserve">Electro-hydraulic actuators, flight controls, thrust vector systems</w:t>
            </w:r>
          </w:p>
        </w:tc>
        <w:tc>
          <w:tcPr>
            <w:tcW w:type="dxa" w:w="3280"/>
            <w:tcBorders>
              <w:top w:val="single" w:color="CCCCCC" w:sz="1"/>
              <w:left w:val="single" w:color="CCCCCC" w:sz="1"/>
              <w:bottom w:val="single" w:color="CCCCCC" w:sz="1"/>
              <w:right w:val="single" w:color="CCCCCC" w:sz="1"/>
            </w:tcBorders>
          </w:tcPr>
          <w:p>
            <w:r>
              <w:rPr>
                <w:sz w:val="19"/>
                <w:szCs w:val="19"/>
              </w:rPr>
              <w:t xml:space="preserve">Smaller scale ($3.3B revenue); strong in defense and space applications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Woodward Inc.</w:t>
            </w:r>
          </w:p>
        </w:tc>
        <w:tc>
          <w:tcPr>
            <w:tcW w:type="dxa" w:w="3280"/>
            <w:tcBorders>
              <w:top w:val="single" w:color="CCCCCC" w:sz="1"/>
              <w:left w:val="single" w:color="CCCCCC" w:sz="1"/>
              <w:bottom w:val="single" w:color="CCCCCC" w:sz="1"/>
              <w:right w:val="single" w:color="CCCCCC" w:sz="1"/>
            </w:tcBorders>
          </w:tcPr>
          <w:p>
            <w:r>
              <w:rPr>
                <w:sz w:val="19"/>
                <w:szCs w:val="19"/>
              </w:rPr>
              <w:t xml:space="preserve">Engine fuel systems, combustion controls, actuators</w:t>
            </w:r>
          </w:p>
        </w:tc>
        <w:tc>
          <w:tcPr>
            <w:tcW w:type="dxa" w:w="3280"/>
            <w:tcBorders>
              <w:top w:val="single" w:color="CCCCCC" w:sz="1"/>
              <w:left w:val="single" w:color="CCCCCC" w:sz="1"/>
              <w:bottom w:val="single" w:color="CCCCCC" w:sz="1"/>
              <w:right w:val="single" w:color="CCCCCC" w:sz="1"/>
            </w:tcBorders>
          </w:tcPr>
          <w:p>
            <w:r>
              <w:rPr>
                <w:sz w:val="19"/>
                <w:szCs w:val="19"/>
              </w:rPr>
              <w:t xml:space="preserve">Specialized in engine controls; strong industrial gas turbine business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Triumph Group</w:t>
            </w:r>
          </w:p>
        </w:tc>
        <w:tc>
          <w:tcPr>
            <w:tcW w:type="dxa" w:w="3280"/>
            <w:tcBorders>
              <w:top w:val="single" w:color="CCCCCC" w:sz="1"/>
              <w:left w:val="single" w:color="CCCCCC" w:sz="1"/>
              <w:bottom w:val="single" w:color="CCCCCC" w:sz="1"/>
              <w:right w:val="single" w:color="CCCCCC" w:sz="1"/>
            </w:tcBorders>
          </w:tcPr>
          <w:p>
            <w:r>
              <w:rPr>
                <w:sz w:val="19"/>
                <w:szCs w:val="19"/>
              </w:rPr>
              <w:t xml:space="preserve">Hydraulic systems, actuation, structures, interiors</w:t>
            </w:r>
          </w:p>
        </w:tc>
        <w:tc>
          <w:tcPr>
            <w:tcW w:type="dxa" w:w="3280"/>
            <w:tcBorders>
              <w:top w:val="single" w:color="CCCCCC" w:sz="1"/>
              <w:left w:val="single" w:color="CCCCCC" w:sz="1"/>
              <w:bottom w:val="single" w:color="CCCCCC" w:sz="1"/>
              <w:right w:val="single" w:color="CCCCCC" w:sz="1"/>
            </w:tcBorders>
          </w:tcPr>
          <w:p>
            <w:r>
              <w:rPr>
                <w:sz w:val="19"/>
                <w:szCs w:val="19"/>
              </w:rPr>
              <w:t xml:space="preserve">Smaller competitor; portfolio rationalization ongoing</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Crane Aerospace</w:t>
            </w:r>
          </w:p>
        </w:tc>
        <w:tc>
          <w:tcPr>
            <w:tcW w:type="dxa" w:w="3280"/>
            <w:tcBorders>
              <w:top w:val="single" w:color="CCCCCC" w:sz="1"/>
              <w:left w:val="single" w:color="CCCCCC" w:sz="1"/>
              <w:bottom w:val="single" w:color="CCCCCC" w:sz="1"/>
              <w:right w:val="single" w:color="CCCCCC" w:sz="1"/>
            </w:tcBorders>
          </w:tcPr>
          <w:p>
            <w:r>
              <w:rPr>
                <w:sz w:val="19"/>
                <w:szCs w:val="19"/>
              </w:rPr>
              <w:t xml:space="preserve">Fuel pumps, valves, sensing equipment, fluid management</w:t>
            </w:r>
          </w:p>
        </w:tc>
        <w:tc>
          <w:tcPr>
            <w:tcW w:type="dxa" w:w="3280"/>
            <w:tcBorders>
              <w:top w:val="single" w:color="CCCCCC" w:sz="1"/>
              <w:left w:val="single" w:color="CCCCCC" w:sz="1"/>
              <w:bottom w:val="single" w:color="CCCCCC" w:sz="1"/>
              <w:right w:val="single" w:color="CCCCCC" w:sz="1"/>
            </w:tcBorders>
          </w:tcPr>
          <w:p>
            <w:r>
              <w:rPr>
                <w:sz w:val="19"/>
                <w:szCs w:val="19"/>
              </w:rPr>
              <w:t xml:space="preserve">Niche player in fuel systems; limited scale ($800M revenue)</w:t>
            </w:r>
          </w:p>
        </w:tc>
      </w:tr>
    </w:tbl>
    <w:p>
      <w:pPr>
        <w:spacing w:before="180" w:after="120"/>
      </w:pPr>
      <w:r>
        <w:rPr>
          <w:b/>
          <w:bCs/>
        </w:rPr>
        <w:t xml:space="preserve">Competitive Advantages:</w:t>
      </w:r>
    </w:p>
    <w:p>
      <w:pPr>
        <w:spacing w:after="80"/>
      </w:pPr>
      <w:r>
        <w:t xml:space="preserve">• Platform ubiquity: Content on virtually every major commercial and military aircraft globally</w:t>
      </w:r>
    </w:p>
    <w:p>
      <w:pPr>
        <w:spacing w:after="80"/>
      </w:pPr>
      <w:r>
        <w:t xml:space="preserve">• Complementary portfolio: Post-Meggitt, Parker offers integrated hydraulics, fuel, flight controls, thermal management, and fire protection</w:t>
      </w:r>
    </w:p>
    <w:p>
      <w:pPr>
        <w:spacing w:after="80"/>
      </w:pPr>
      <w:r>
        <w:t xml:space="preserve">• Aftermarket installed base: 30+ year revenue streams from MRO requirements and airworthiness mandates</w:t>
      </w:r>
    </w:p>
    <w:p>
      <w:pPr>
        <w:spacing w:after="80"/>
      </w:pPr>
      <w:r>
        <w:t xml:space="preserve">• Engineering depth: 3,000+ aerospace engineers enabling early design-in on next-gen platforms</w:t>
      </w:r>
    </w:p>
    <w:p>
      <w:pPr>
        <w:spacing w:after="80"/>
      </w:pPr>
      <w:r>
        <w:t xml:space="preserve">• Certification expertise: Proven ability to meet stringent DO-160, DO-178, and military specifications</w:t>
      </w:r>
    </w:p>
    <w:p>
      <w:pPr>
        <w:spacing w:after="240"/>
      </w:pPr>
      <w:r>
        <w:t xml:space="preserve">• Global support network: 24/7 AOG (aircraft on ground) support through ParkerStores and service centers</w:t>
      </w:r>
    </w:p>
    <w:p>
      <w:pPr>
        <w:spacing w:after="120"/>
      </w:pPr>
      <w:r>
        <w:rPr>
          <w:b/>
          <w:bCs/>
        </w:rPr>
        <w:t xml:space="preserve">Competitive Risks:</w:t>
      </w:r>
    </w:p>
    <w:p>
      <w:pPr>
        <w:spacing w:after="80"/>
      </w:pPr>
      <w:r>
        <w:t xml:space="preserve">• OEM consolidation: Boeing 737 MAX and Airbus A320neo family concentration creates customer power</w:t>
      </w:r>
    </w:p>
    <w:p>
      <w:pPr>
        <w:spacing w:after="80"/>
      </w:pPr>
      <w:r>
        <w:t xml:space="preserve">• Supply chain complexity: Dependence on sub-tier suppliers for raw materials (titanium, aluminum forgings)</w:t>
      </w:r>
    </w:p>
    <w:p>
      <w:pPr>
        <w:spacing w:after="80"/>
      </w:pPr>
      <w:r>
        <w:t xml:space="preserve">• More-electric aircraft: Shift toward electrical systems may reduce hydraulic content on future platforms</w:t>
      </w:r>
    </w:p>
    <w:p>
      <w:pPr>
        <w:spacing w:after="80"/>
      </w:pPr>
      <w:r>
        <w:t xml:space="preserve">• Aerospace cycle risk: Commercial aviation remains cyclical with exposure to economic downturns</w:t>
      </w:r>
    </w:p>
    <w:p>
      <w:pPr>
        <w:spacing w:after="120"/>
      </w:pPr>
      <w:r>
        <w:t xml:space="preserve">• Certification barriers declining: Advances in simulation and digital twins may ease competitive entry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 w:type="paragraph" w:styleId="Heading3">
    <w:name w:val="Heading 3"/>
    <w:basedOn w:val="Normal"/>
    <w:next w:val="Normal"/>
    <w:qFormat/>
    <w:pPr>
      <w:spacing w:before="140" w:after="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2025-12-05T21:53:11.332Z</dcterms:created>
  <dcterms:modified xsi:type="dcterms:W3CDTF">2025-12-05T21:53:11.333Z</dcterms:modified>
</cp:coreProperties>
</file>

<file path=docProps/custom.xml><?xml version="1.0" encoding="utf-8"?>
<Properties xmlns="http://schemas.openxmlformats.org/officeDocument/2006/custom-properties" xmlns:vt="http://schemas.openxmlformats.org/officeDocument/2006/docPropsVTypes"/>
</file>