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6. Peer Benchmarking</w:t>
      </w:r>
    </w:p>
    <w:p>
      <w:pPr>
        <w:spacing w:before="120" w:after="240"/>
      </w:pPr>
      <w:r>
        <w:t xml:space="preserve">This section benchmarks Parker-Hannifin against selected diversified industrial and aerospace peers to assess relative financial performance, operational efficiency, and market positioning. Peer selection criteria include: (1) Similar business models (motion control, aerospace systems, industrial distribution), (2) Comparable revenue scale ($15B-$50B), (3) Public financial disclosure, and (4) Overlapping end markets. All figures represent most recently reported fiscal year data (FY2024 or calendar 2024).</w:t>
      </w:r>
    </w:p>
    <w:p>
      <w:pPr>
        <w:pStyle w:val="Heading2"/>
      </w:pPr>
      <w:r>
        <w:t xml:space="preserve">6.1 Peer Comparison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1700"/>
        <w:gridCol w:w="1300"/>
        <w:gridCol w:w="1300"/>
        <w:gridCol w:w="1300"/>
        <w:gridCol w:w="1300"/>
        <w:gridCol w:w="13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Revenue ($B)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 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FCF Margin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Focus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  <w:sz w:val="19"/>
                <w:szCs w:val="19"/>
              </w:rPr>
              <w:t xml:space="preserve">Parker-Hannifin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$19.9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24.9%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25.6%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23.9%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15.0%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sz w:val="17"/>
                <w:szCs w:val="17"/>
              </w:rPr>
              <w:t xml:space="preserve">Motion control, aerospace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Eaton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$24.9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22.0%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~35%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Electrical power mgmt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Honeywell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$38.0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Aerospace, automation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Emerson Electric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$18.0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20.1%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Process automation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Moog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$3.3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Aerospace controls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Donaldson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$3.5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16.5%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~28%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~13%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7"/>
                <w:szCs w:val="17"/>
              </w:rPr>
              <w:t xml:space="preserve">Filtration pure-play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b/>
                <w:bCs/>
                <w:sz w:val="19"/>
                <w:szCs w:val="19"/>
              </w:rPr>
              <w:t xml:space="preserve">Peer Average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$17.5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18.3%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22.0%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29.2%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12.4%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</w:tcPr>
          <w:p>
            <w:r>
              <w:rPr>
                <w:sz w:val="17"/>
                <w:szCs w:val="17"/>
              </w:rPr>
              <w:t xml:space="preserve">–</w:t>
            </w:r>
          </w:p>
        </w:tc>
      </w:tr>
    </w:tbl>
    <w:p>
      <w:pPr>
        <w:spacing w:before="180" w:after="240"/>
      </w:pPr>
      <w:r>
        <w:rPr>
          <w:i/>
          <w:iCs/>
          <w:sz w:val="20"/>
          <w:szCs w:val="20"/>
        </w:rPr>
        <w:t xml:space="preserve">Note: Operating margin figures are adjusted to exclude one-time charges and acquisition-related amortization where disclosed. Peer average excludes Parker-Hannifin.</w:t>
      </w:r>
    </w:p>
    <w:p>
      <w:pPr>
        <w:pStyle w:val="Heading2"/>
      </w:pPr>
      <w:r>
        <w:t xml:space="preserve">6.2 Peer Benchmark Summary</w:t>
      </w:r>
    </w:p>
    <w:p>
      <w:pPr>
        <w:spacing w:before="120" w:after="120"/>
      </w:pPr>
      <w:r>
        <w:rPr>
          <w:b/>
          <w:bCs/>
        </w:rPr>
        <w:t xml:space="preserve">Operating Margin Leadership:</w:t>
      </w:r>
    </w:p>
    <w:p>
      <w:pPr>
        <w:spacing w:after="120"/>
      </w:pPr>
      <w:r>
        <w:t xml:space="preserve">Parker's 24.9% adjusted segment operating margin significantly outperforms the peer average of 18.3% by 660 basis points, ranking first among selected peers. This leadership reflects: (1) Win Strategy operational excellence delivering 630 bps expansion since FY2019, (2) Favorable aerospace mix (27% of revenue at 20%+ margins), (3) Strong aftermarket content (45% of revenue) with inherently higher margins, (4) Successful Meggitt integration capturing $160M synergies, and (5) Scale advantages in distribution and manufacturing. Eaton approaches parity at 22.0% through electrical equipment focus, while Honeywell (~21%) and Emerson (20.1%) operate more diversified portfolios with dilutive software/services businesses. Smaller peers Moog (~12%) and Donaldson (16.5%) face scale disadvantages.</w:t>
      </w:r>
    </w:p>
    <w:p>
      <w:pPr>
        <w:spacing w:before="120" w:after="120"/>
      </w:pPr>
      <w:r>
        <w:rPr>
          <w:b/>
          <w:bCs/>
        </w:rPr>
        <w:t xml:space="preserve">EBITDA Margin Positioning:</w:t>
      </w:r>
    </w:p>
    <w:p>
      <w:pPr>
        <w:spacing w:after="120"/>
      </w:pPr>
      <w:r>
        <w:t xml:space="preserve">Parker's 25.6% adjusted EBITDA margin exceeds peer average of 22.0% by 360 basis points, ranking second behind Eaton (~26%). This demonstrates strong earnings quality with lower depreciation/amortization burden than peers. Management's FY2029 target of 28% EBITDA margin would establish clear best-in-class positioning. Eaton's electrical infrastructure business benefits from lower CapEx intensity, while Honeywell's software/controls mix drives favorable EBITDA conversion.</w:t>
      </w:r>
    </w:p>
    <w:p>
      <w:pPr>
        <w:spacing w:before="120" w:after="120"/>
      </w:pPr>
      <w:r>
        <w:rPr>
          <w:b/>
          <w:bCs/>
        </w:rPr>
        <w:t xml:space="preserve">Return on Equity Analysis:</w:t>
      </w:r>
    </w:p>
    <w:p>
      <w:pPr>
        <w:spacing w:after="120"/>
      </w:pPr>
      <w:r>
        <w:t xml:space="preserve">Parker's 23.9% ROE trails peer average of 29.2%, primarily due to lower financial leverage (2.0x net debt/EBITDA) versus more leveraged competitors. Honeywell (40% ROE) and Eaton (35% ROE) employ higher leverage and aggressive share repurchases to boost returns. However, Parker's fortress balance sheet provides strategic flexibility for M&amp;A (Filtration Group) and positions the company to navigate economic cycles. ROE improvement pathway: (1) Margin expansion to 27% target, (2) Strategic use of leverage for accretive acquisitions, (3) Continued share repurchases as cash flow inflects.</w:t>
      </w:r>
    </w:p>
    <w:p>
      <w:pPr>
        <w:spacing w:before="120" w:after="120"/>
      </w:pPr>
      <w:r>
        <w:rPr>
          <w:b/>
          <w:bCs/>
        </w:rPr>
        <w:t xml:space="preserve">Free Cash Flow Conversion:</w:t>
      </w:r>
    </w:p>
    <w:p>
      <w:pPr>
        <w:spacing w:after="120"/>
      </w:pPr>
      <w:r>
        <w:t xml:space="preserve">Parker's 15.0% free cash flow margin ranks second among peers, above the 12.4% average and trailing only Honeywell (~15%). This demonstrates strong working capital management (80 days inventory, 51 days DSO) and disciplined CapEx (2% of sales). FY2029 target of 17% FCF margin would generate $3.3-3.5B annually, supporting $35B cumulative capital deployment. Eaton's lower FCF margin (~12%) reflects higher CapEx needs for electrical manufacturing expansion. Smaller peers Moog (8%) and Donaldson (13%) face working capital challenges from aerospace production ramps.</w:t>
      </w:r>
    </w:p>
    <w:p>
      <w:pPr>
        <w:spacing w:before="120" w:after="120"/>
      </w:pPr>
      <w:r>
        <w:rPr>
          <w:b/>
          <w:bCs/>
        </w:rPr>
        <w:t xml:space="preserve">Growth Profile Comparison:</w:t>
      </w:r>
    </w:p>
    <w:p>
      <w:pPr>
        <w:spacing w:after="120"/>
      </w:pPr>
      <w:r>
        <w:t xml:space="preserve">Parker's 4-6% organic growth CAGR target through FY2029 aligns with peer expectations. Eaton guides 6.5-8.5% driven by electrical infrastructure mega-trends (data centers, EVs, grid modernization). Honeywell targets 4-6% with aerospace recovery and automation strength. Emerson projects mid-single-digit growth in process automation. Parker's balanced portfolio provides resilience: aerospace tailwinds offset near-term industrial softness, with diversification across end markets (no customer &gt;4% revenue) mitigating cyclical risk.</w:t>
      </w:r>
    </w:p>
    <w:p>
      <w:pPr>
        <w:spacing w:before="120" w:after="120"/>
      </w:pPr>
      <w:r>
        <w:rPr>
          <w:b/>
          <w:bCs/>
        </w:rPr>
        <w:t xml:space="preserve">Valuation Context (As of December 2024):</w:t>
      </w:r>
    </w:p>
    <w:p>
      <w:pPr>
        <w:spacing w:after="120"/>
      </w:pPr>
      <w:r>
        <w:t xml:space="preserve">Parker trades at approximately 32-35x forward P/E, a premium to industrials average of 20-22x but in line with high-quality peers. Eaton trades at 30-32x on electrical infrastructure enthusiasm. Honeywell at 26-28x reflects portfolio complexity and planned spin-offs. Emerson at 24-26x reflects lower growth profile. Premium valuation justified by: (1) Best-in-class margins with visible expansion pathway, (2) Aerospace exposure (33% revenue) at inflection point, (3) Proven M&amp;A execution and integration capabilities, (4) Strong FCF generation funding both growth and returns, and (5) Track record of meeting/exceeding targets. Risk to multiple: Industrial cycle downturn, Meggitt/Filtration integration stumbles, or aerospace production delays.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Competitive Positioning Synthesis:</w:t>
      </w:r>
    </w:p>
    <w:p>
      <w:pPr>
        <w:spacing w:after="120"/>
      </w:pPr>
      <w:r>
        <w:t xml:space="preserve">Parker-Hannifin has transformed into a top-quartile diversified industrial through disciplined execution of The Win Strategy and strategic portfolio optimization. Operating margin leadership (24.9% vs. 18.3% peer avg) provides significant competitive advantage, enabling R&amp;D investment, aftermarket expansion, and pricing flexibility. The company's systems integration capabilities (two-thirds of customers buy 4+ Parker technologies) create switching costs that pure-play competitors cannot match. Post-Meggitt, Parker has established critical mass in aerospace (27% revenue) while maintaining industrial leadership, positioning the company to capitalize on both secular growth trends simultaneously.</w:t>
      </w:r>
    </w:p>
    <w:p>
      <w:pPr>
        <w:spacing w:after="120"/>
      </w:pPr>
      <w:r>
        <w:t xml:space="preserve">Key differentiators versus peers: (1) Broadest technology portfolio (hydraulics, pneumatics, electromechanical, filtration, materials, climate control), (2) Largest industrial distribution network (~17,100 partners), (3) Best-in-class operational system (Win Strategy) with proven margin expansion track record, (4) Balanced end-market exposure mitigating cyclical volatility, and (5) Strong balance sheet (2.0x leverage) enabling strategic M&amp;A.</w:t>
      </w:r>
    </w:p>
    <w:p>
      <w:r>
        <w:t xml:space="preserve">Primary competitive risks: Eaton's electrical infrastructure positioning could drive superior growth if mega-trends accelerate; Honeywell's avionics/software capabilities provide defensibility in aerospace; and Emerson's process automation leadership in energy transition applications. However, none of these competitors matches Parker's breadth, operational excellence, or margin profile, validating the company's best-in-class positioning within diversified industrials.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2025-12-05T22:03:42.056Z</dcterms:created>
  <dcterms:modified xsi:type="dcterms:W3CDTF">2025-12-05T22:03:42.057Z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