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8. Recent News &amp; Events</w:t>
      </w:r>
    </w:p>
    <w:p>
      <w:pPr>
        <w:spacing w:before="120" w:after="240"/>
      </w:pPr>
      <w:r>
        <w:t xml:space="preserve">This section chronicles significant corporate developments, earnings announcements, strategic initiatives, and external events impacting Parker-Hannifin over the past 12 months (December 2023 – December 2024). Events are organized chronologically and categorized by strategic significance.</w:t>
      </w:r>
    </w:p>
    <w:p>
      <w:pPr>
        <w:pStyle w:val="Heading2"/>
      </w:pPr>
      <w:r>
        <w:t xml:space="preserve">November 2024: Filtration Group Acquisition Announced</w:t>
      </w:r>
    </w:p>
    <w:p>
      <w:pPr>
        <w:spacing w:before="120" w:after="100"/>
      </w:pPr>
      <w:r>
        <w:rPr>
          <w:b/>
          <w:bCs/>
        </w:rPr>
        <w:t xml:space="preserve">Date: November 11, 2024</w:t>
      </w:r>
    </w:p>
    <w:p>
      <w:pPr>
        <w:spacing w:after="100"/>
      </w:pPr>
      <w:r>
        <w:rPr>
          <w:b/>
          <w:bCs/>
        </w:rPr>
        <w:t xml:space="preserve">Strategic Significance: Transformational</w:t>
      </w:r>
    </w:p>
    <w:p>
      <w:pPr>
        <w:spacing w:before="80" w:after="120"/>
      </w:pPr>
      <w:r>
        <w:t xml:space="preserve">Parker announced a definitive agreement to acquire Filtration Group Corporation from Madison Industries for $9.25 billion in cash (debt-free, cash-free basis). This represents Parker's second-largest acquisition ever, behind only the $9.8 billion Meggitt purchase in 2022. The transaction values Filtration Group at 19.6x estimated calendar 2025 adjusted EBITDA of $472 million, or 13.4x including $220 million expected cost synergies.</w:t>
      </w:r>
    </w:p>
    <w:p>
      <w:pPr>
        <w:spacing w:before="100" w:after="100"/>
      </w:pPr>
      <w:r>
        <w:rPr>
          <w:b/>
          <w:bCs/>
        </w:rPr>
        <w:t xml:space="preserve">Key Transaction Details:</w:t>
      </w:r>
    </w:p>
    <w:p>
      <w:pPr>
        <w:pStyle w:val="ListParagraph"/>
        <w:numPr>
          <w:ilvl w:val="0"/>
          <w:numId w:val="2"/>
        </w:numPr>
      </w:pPr>
      <w:r>
        <w:t xml:space="preserve">Target Profile: Filtration Group generates approximately $2 billion in calendar 2025 sales with 23.5% adjusted EBITDA margin and employs 7,500 team members across 165 locations in 27 countries</w:t>
      </w:r>
    </w:p>
    <w:p>
      <w:pPr>
        <w:pStyle w:val="ListParagraph"/>
        <w:numPr>
          <w:ilvl w:val="0"/>
          <w:numId w:val="2"/>
        </w:numPr>
      </w:pPr>
      <w:r>
        <w:t xml:space="preserve">Aftermarket Focus: 85% of Filtration Group sales are recurring aftermarket revenue, increasing Parker Filtration's aftermarket mix by 500 basis points</w:t>
      </w:r>
    </w:p>
    <w:p>
      <w:pPr>
        <w:pStyle w:val="ListParagraph"/>
        <w:numPr>
          <w:ilvl w:val="0"/>
          <w:numId w:val="2"/>
        </w:numPr>
      </w:pPr>
      <w:r>
        <w:t xml:space="preserve">End Markets: Life Sciences (pharmaceutical, biotech, medical device filtration), HVAC/R (commercial building air filtration), and industrial applications (compressed air, hydraulic oil, process filtration)</w:t>
      </w:r>
    </w:p>
    <w:p>
      <w:pPr>
        <w:pStyle w:val="ListParagraph"/>
        <w:numPr>
          <w:ilvl w:val="0"/>
          <w:numId w:val="2"/>
        </w:numPr>
      </w:pPr>
      <w:r>
        <w:t xml:space="preserve">Synergies: $220 million pre-tax cost synergies expected by end of year three post-close, driven by procurement optimization, manufacturing footprint rationalization, and overhead leverage</w:t>
      </w:r>
    </w:p>
    <w:p>
      <w:pPr>
        <w:pStyle w:val="ListParagraph"/>
        <w:numPr>
          <w:ilvl w:val="0"/>
          <w:numId w:val="2"/>
        </w:numPr>
      </w:pPr>
      <w:r>
        <w:t xml:space="preserve">Financing: New debt issuance plus cash on hand; Parker expects to maintain investment-grade credit rating</w:t>
      </w:r>
    </w:p>
    <w:p>
      <w:pPr>
        <w:pStyle w:val="ListParagraph"/>
        <w:numPr>
          <w:ilvl w:val="0"/>
          <w:numId w:val="2"/>
        </w:numPr>
      </w:pPr>
      <w:r>
        <w:t xml:space="preserve">Timeline: Expected close in 6-12 months pending regulatory approvals (antitrust clearance in U.S., EU, other jurisdictions)</w:t>
      </w:r>
    </w:p>
    <w:p>
      <w:pPr>
        <w:pStyle w:val="ListParagraph"/>
        <w:numPr>
          <w:ilvl w:val="0"/>
          <w:numId w:val="2"/>
        </w:numPr>
      </w:pPr>
      <w:r>
        <w:t xml:space="preserve">Returns: Projected to achieve high single-digit ROIC by year five; accretive to organic growth, EBITDA margin, adjusted EPS, and cash flow</w:t>
      </w:r>
    </w:p>
    <w:p>
      <w:pPr>
        <w:spacing w:before="100" w:after="120"/>
      </w:pPr>
      <w:r>
        <w:rPr>
          <w:b/>
          <w:bCs/>
        </w:rPr>
        <w:t xml:space="preserve">Strategic Rationale:</w:t>
      </w:r>
    </w:p>
    <w:p>
      <w:pPr>
        <w:spacing w:after="120"/>
      </w:pPr>
      <w:r>
        <w:t xml:space="preserve">CEO Jenny Parmentier stated the transaction "continues our investment in high quality businesses that continue to transform our portfolio, accelerate sales growth and improve profitability." The deal creates one of the world's largest industrial filtration businesses, combining Filtration Group's specialized media technologies and aftermarket presence with Parker's global distribution network (~17,100 partners), engineering capabilities (8,000+ engineers), and Win Strategy operational excellence. Parker previously acquired CLARCOR for $4.3 billion in 2017, establishing filtration as a core technology platform. Filtration Group adds complementary capabilities in high-growth life sciences (driven by bioprocessing, single-use systems) and premium HVAC/R segments where Parker had limited presence. The 85% aftermarket mix aligns with Parker's strategic priority to increase recurring revenue and improve margin stability.</w:t>
      </w:r>
    </w:p>
    <w:p>
      <w:pPr>
        <w:spacing w:before="100" w:after="120"/>
      </w:pPr>
      <w:r>
        <w:rPr>
          <w:b/>
          <w:bCs/>
        </w:rPr>
        <w:t xml:space="preserve">Market and Analyst Reaction:</w:t>
      </w:r>
    </w:p>
    <w:p>
      <w:pPr>
        <w:spacing w:after="120"/>
      </w:pPr>
      <w:r>
        <w:t xml:space="preserve">Parker's stock declined modestly following the announcement as investors digested the valuation multiple (19.6x EBITDA viewed as full pricing) and leverage implications. However, analysts generally viewed the acquisition favorably, citing strategic fit, aftermarket synergies, and Parker's strong integration track record post-Meggitt. The market capitalization stood at approximately $106 billion at announcement, providing ample financial capacity. Barclays served as financial advisor to Parker; Lincoln International advised Filtration Group.</w:t>
      </w:r>
    </w:p>
    <w:p>
      <w:pPr>
        <w:pStyle w:val="Heading2"/>
        <w:spacing w:before="240"/>
      </w:pPr>
      <w:r>
        <w:t xml:space="preserve">August 2024: Fiscal 2024 Full Year Results</w:t>
      </w:r>
    </w:p>
    <w:p>
      <w:pPr>
        <w:spacing w:before="120" w:after="100"/>
      </w:pPr>
      <w:r>
        <w:rPr>
          <w:b/>
          <w:bCs/>
        </w:rPr>
        <w:t xml:space="preserve">Date: August 8, 2024</w:t>
      </w:r>
    </w:p>
    <w:p>
      <w:pPr>
        <w:spacing w:after="100"/>
      </w:pPr>
      <w:r>
        <w:rPr>
          <w:b/>
          <w:bCs/>
        </w:rPr>
        <w:t xml:space="preserve">Strategic Significance: High</w:t>
      </w:r>
    </w:p>
    <w:p>
      <w:pPr>
        <w:spacing w:before="80" w:after="120"/>
      </w:pPr>
      <w:r>
        <w:t xml:space="preserve">Parker reported record FY2024 financial performance (fiscal year ended June 30, 2024) with total sales of $19.9 billion (+4.5% versus FY2023), adjusted segment operating margin of 24.9% (+200 bps), adjusted EPS of $25.44 (+17.7%), and free cash flow of $3.0 billion (15.0% of sales). The company exceeded its guidance ranges across all key metrics and raised five-year financial targets for fiscal 2029.</w:t>
      </w:r>
    </w:p>
    <w:p>
      <w:pPr>
        <w:spacing w:before="100" w:after="100"/>
      </w:pPr>
      <w:r>
        <w:rPr>
          <w:b/>
          <w:bCs/>
        </w:rPr>
        <w:t xml:space="preserve">Fourth Quarter Highlights (Q4 FY2024, ended June 30, 2024):</w:t>
      </w:r>
    </w:p>
    <w:p>
      <w:pPr>
        <w:pStyle w:val="ListParagraph"/>
        <w:numPr>
          <w:ilvl w:val="0"/>
          <w:numId w:val="2"/>
        </w:numPr>
      </w:pPr>
      <w:r>
        <w:t xml:space="preserve">Sales: $5.2 billion (+2% reported, +3% organic)</w:t>
      </w:r>
    </w:p>
    <w:p>
      <w:pPr>
        <w:pStyle w:val="ListParagraph"/>
        <w:numPr>
          <w:ilvl w:val="0"/>
          <w:numId w:val="2"/>
        </w:numPr>
      </w:pPr>
      <w:r>
        <w:t xml:space="preserve">Adjusted segment operating margin: Record 25.3% (+130 bps)</w:t>
      </w:r>
    </w:p>
    <w:p>
      <w:pPr>
        <w:pStyle w:val="ListParagraph"/>
        <w:numPr>
          <w:ilvl w:val="0"/>
          <w:numId w:val="2"/>
        </w:numPr>
      </w:pPr>
      <w:r>
        <w:t xml:space="preserve">Adjusted EPS: $6.77 (+12%)</w:t>
      </w:r>
    </w:p>
    <w:p>
      <w:pPr>
        <w:pStyle w:val="ListParagraph"/>
        <w:numPr>
          <w:ilvl w:val="0"/>
          <w:numId w:val="2"/>
        </w:numPr>
      </w:pPr>
      <w:r>
        <w:t xml:space="preserve">Aerospace Systems sales: Record $1.5 billion (+19% organic), with segment margins of 21.9%</w:t>
      </w:r>
    </w:p>
    <w:p>
      <w:pPr>
        <w:pStyle w:val="ListParagraph"/>
        <w:numPr>
          <w:ilvl w:val="0"/>
          <w:numId w:val="2"/>
        </w:numPr>
      </w:pPr>
      <w:r>
        <w:t xml:space="preserve">Diversified Industrial: North America organic sales -3%; International organic sales -2.5% (Europe and Asia softness)</w:t>
      </w:r>
    </w:p>
    <w:p>
      <w:pPr>
        <w:spacing w:before="100" w:after="100"/>
      </w:pPr>
      <w:r>
        <w:rPr>
          <w:b/>
          <w:bCs/>
        </w:rPr>
        <w:t xml:space="preserve">Full Year Performance (FY2024):</w:t>
      </w:r>
    </w:p>
    <w:p>
      <w:pPr>
        <w:pStyle w:val="ListParagraph"/>
        <w:numPr>
          <w:ilvl w:val="0"/>
          <w:numId w:val="2"/>
        </w:numPr>
      </w:pPr>
      <w:r>
        <w:t xml:space="preserve">Operating cash flow: Record $3.4 billion (17.0% of sales, +14% YoY)</w:t>
      </w:r>
    </w:p>
    <w:p>
      <w:pPr>
        <w:pStyle w:val="ListParagraph"/>
        <w:numPr>
          <w:ilvl w:val="0"/>
          <w:numId w:val="2"/>
        </w:numPr>
      </w:pPr>
      <w:r>
        <w:t xml:space="preserve">Debt reduction: Over $3.4 billion since Meggitt acquisition close; achieved 2.0x net debt/EBITDA target</w:t>
      </w:r>
    </w:p>
    <w:p>
      <w:pPr>
        <w:pStyle w:val="ListParagraph"/>
        <w:numPr>
          <w:ilvl w:val="0"/>
          <w:numId w:val="2"/>
        </w:numPr>
      </w:pPr>
      <w:r>
        <w:t xml:space="preserve">Working capital: Days inventory improved from 85 to 80 days</w:t>
      </w:r>
    </w:p>
    <w:p>
      <w:pPr>
        <w:pStyle w:val="ListParagraph"/>
        <w:numPr>
          <w:ilvl w:val="0"/>
          <w:numId w:val="2"/>
        </w:numPr>
      </w:pPr>
      <w:r>
        <w:t xml:space="preserve">Aerospace Systems: Sales doubled since FY2020 ($2.7B to $5.5B); margins expanded to 20.3%</w:t>
      </w:r>
    </w:p>
    <w:p>
      <w:pPr>
        <w:pStyle w:val="ListParagraph"/>
        <w:numPr>
          <w:ilvl w:val="0"/>
          <w:numId w:val="2"/>
        </w:numPr>
      </w:pPr>
      <w:r>
        <w:t xml:space="preserve">Dividend: Increased annual dividend for 68th consecutive year, ranking among top 5 longest-running records in S&amp;P 500</w:t>
      </w:r>
    </w:p>
    <w:p>
      <w:pPr>
        <w:spacing w:before="100" w:after="100"/>
      </w:pPr>
      <w:r>
        <w:rPr>
          <w:b/>
          <w:bCs/>
        </w:rPr>
        <w:t xml:space="preserve">Updated FY2029 Financial Targets (announced):</w:t>
      </w:r>
    </w:p>
    <w:p>
      <w:pPr>
        <w:pStyle w:val="ListParagraph"/>
        <w:numPr>
          <w:ilvl w:val="0"/>
          <w:numId w:val="2"/>
        </w:numPr>
      </w:pPr>
      <w:r>
        <w:t xml:space="preserve">Adjusted segment operating margin: 27% (raised from 25% prior target)</w:t>
      </w:r>
    </w:p>
    <w:p>
      <w:pPr>
        <w:pStyle w:val="ListParagraph"/>
        <w:numPr>
          <w:ilvl w:val="0"/>
          <w:numId w:val="2"/>
        </w:numPr>
      </w:pPr>
      <w:r>
        <w:t xml:space="preserve">Adjusted EBITDA margin: 28% (raised from 25%)</w:t>
      </w:r>
    </w:p>
    <w:p>
      <w:pPr>
        <w:pStyle w:val="ListParagraph"/>
        <w:numPr>
          <w:ilvl w:val="0"/>
          <w:numId w:val="2"/>
        </w:numPr>
      </w:pPr>
      <w:r>
        <w:t xml:space="preserve">Free cash flow margin: 17% (raised from 16%)</w:t>
      </w:r>
    </w:p>
    <w:p>
      <w:pPr>
        <w:pStyle w:val="ListParagraph"/>
        <w:numPr>
          <w:ilvl w:val="0"/>
          <w:numId w:val="2"/>
        </w:numPr>
      </w:pPr>
      <w:r>
        <w:t xml:space="preserve">Adjusted EPS CAGR: 10%+ through FY2029</w:t>
      </w:r>
    </w:p>
    <w:p>
      <w:pPr>
        <w:pStyle w:val="ListParagraph"/>
        <w:numPr>
          <w:ilvl w:val="0"/>
          <w:numId w:val="2"/>
        </w:numPr>
      </w:pPr>
      <w:r>
        <w:t xml:space="preserve">Organic sales growth: 4-6% CAGR</w:t>
      </w:r>
    </w:p>
    <w:p>
      <w:pPr>
        <w:spacing w:before="100" w:after="120"/>
      </w:pPr>
      <w:r>
        <w:rPr>
          <w:b/>
          <w:bCs/>
        </w:rPr>
        <w:t xml:space="preserve">Management Commentary:</w:t>
      </w:r>
    </w:p>
    <w:p>
      <w:pPr>
        <w:spacing w:after="120"/>
      </w:pPr>
      <w:r>
        <w:t xml:space="preserve">CEO Jenny Parmentier: "We delivered an exceptionally strong fourth quarter capping another year of record performance. Our ability to drive outstanding results reflects the dedication and commitment of our people, the strength and balance of our portfolio, and the power of our business system, The Win Strategy. We had record sales approaching $20 billion, record adjusted segment operating margin, which increased 200 basis points compared to the prior year, adjusted earnings per share growth of 18%, and record free cash flow of $3 billion. Parker has a very bright future ahead as indicated by our strong outlook for fiscal year 2025, which puts us on track to achieve our financial targets for fiscal year 2029."</w:t>
      </w:r>
    </w:p>
    <w:p>
      <w:pPr>
        <w:pStyle w:val="Heading2"/>
        <w:spacing w:before="240"/>
      </w:pPr>
      <w:r>
        <w:t xml:space="preserve">August 2024: Fiscal 2025 Guidance Issued</w:t>
      </w:r>
    </w:p>
    <w:p>
      <w:pPr>
        <w:spacing w:before="120" w:after="100"/>
      </w:pPr>
      <w:r>
        <w:rPr>
          <w:b/>
          <w:bCs/>
        </w:rPr>
        <w:t xml:space="preserve">Date: August 8, 2024 (concurrent with FY2024 results)</w:t>
      </w:r>
    </w:p>
    <w:p>
      <w:pPr>
        <w:spacing w:before="80" w:after="120"/>
      </w:pPr>
      <w:r>
        <w:t xml:space="preserve">Parker issued guidance for fiscal year 2025 (year ending June 30, 2025) reflecting expectations for continued aerospace strength offset by near-term industrial softness with second-half recovery.</w:t>
      </w:r>
    </w:p>
    <w:p>
      <w:pPr>
        <w:spacing w:before="100" w:after="100"/>
      </w:pPr>
      <w:r>
        <w:rPr>
          <w:b/>
          <w:bCs/>
        </w:rPr>
        <w:t xml:space="preserve">FY2025 Guidance:</w:t>
      </w:r>
    </w:p>
    <w:p>
      <w:pPr>
        <w:pStyle w:val="ListParagraph"/>
        <w:numPr>
          <w:ilvl w:val="0"/>
          <w:numId w:val="2"/>
        </w:numPr>
      </w:pPr>
      <w:r>
        <w:t xml:space="preserve">Total sales growth: 1.5% to 4.5%</w:t>
      </w:r>
    </w:p>
    <w:p>
      <w:pPr>
        <w:pStyle w:val="ListParagraph"/>
        <w:numPr>
          <w:ilvl w:val="0"/>
          <w:numId w:val="2"/>
        </w:numPr>
      </w:pPr>
      <w:r>
        <w:t xml:space="preserve">Organic sales growth: 2% to 5% (implying neutral to low-single-digit H1, acceleration in H2)</w:t>
      </w:r>
    </w:p>
    <w:p>
      <w:pPr>
        <w:pStyle w:val="ListParagraph"/>
        <w:numPr>
          <w:ilvl w:val="0"/>
          <w:numId w:val="2"/>
        </w:numPr>
      </w:pPr>
      <w:r>
        <w:t xml:space="preserve">Adjusted segment operating margin: 25.2% to 25.6% (+30 to 70 bps expansion)</w:t>
      </w:r>
    </w:p>
    <w:p>
      <w:pPr>
        <w:pStyle w:val="ListParagraph"/>
        <w:numPr>
          <w:ilvl w:val="0"/>
          <w:numId w:val="2"/>
        </w:numPr>
      </w:pPr>
      <w:r>
        <w:t xml:space="preserve">Adjusted EPS: $26.30 to $27.00 (+3% to +6% versus FY2024's $25.44)</w:t>
      </w:r>
    </w:p>
    <w:p>
      <w:pPr>
        <w:pStyle w:val="ListParagraph"/>
        <w:numPr>
          <w:ilvl w:val="0"/>
          <w:numId w:val="2"/>
        </w:numPr>
      </w:pPr>
      <w:r>
        <w:t xml:space="preserve">Aerospace Systems organic growth: High single digits (commercial OE, low double-digit commercial aftermarket, mid-single-digit defense)</w:t>
      </w:r>
    </w:p>
    <w:p>
      <w:pPr>
        <w:pStyle w:val="ListParagraph"/>
        <w:numPr>
          <w:ilvl w:val="0"/>
          <w:numId w:val="2"/>
        </w:numPr>
      </w:pPr>
      <w:r>
        <w:t xml:space="preserve">Diversified Industrial organic growth: Neutral to low-single-digit H1 FY2025, improving to low-to-mid single digits H2</w:t>
      </w:r>
    </w:p>
    <w:p>
      <w:pPr>
        <w:spacing w:before="100" w:after="120"/>
      </w:pPr>
      <w:r>
        <w:rPr>
          <w:b/>
          <w:bCs/>
        </w:rPr>
        <w:t xml:space="preserve">Segment Outlook Detail:</w:t>
      </w:r>
    </w:p>
    <w:p>
      <w:pPr>
        <w:spacing w:after="120"/>
      </w:pPr>
      <w:r>
        <w:t xml:space="preserve">Aerospace: Management forecasts high single-digit commercial OE growth driven by Boeing 737 MAX ramp (targeting 38 units/month) and Airbus A320neo family production (60+ units/month). Wide-body production (787, A350, 777X) expected to increase low-to-mid single digits. Commercial aftermarket projected to grow low double digits supported by flight hour recovery and MRO shop visit normalization. Defense OE anticipated mid-single-digit growth (F-35 ramp to 156 units/year, CH-47 upgrades, unmanned systems). Defense aftermarket high single digits on readiness funding.</w:t>
      </w:r>
    </w:p>
    <w:p>
      <w:r>
        <w:t xml:space="preserve">Diversified Industrial: Near-term headwinds from industrial destocking, HVAC/R market softness, and European/Asia demand weakness. Sequential improvement expected throughout FY2025 as inventory digestion completes and manufacturing PMI stabilizes. Energy markets (oil &amp; gas) providing relative strength. Off-highway (construction, agriculture) showing early signs of stabilization. Aftermarket business (45% of Diversified Industrial revenue) remains resilient.</w:t>
      </w:r>
    </w:p>
    <w:p>
      <w:pPr>
        <w:pStyle w:val="Heading2"/>
        <w:spacing w:before="240"/>
      </w:pPr>
      <w:r>
        <w:t xml:space="preserve">May 2024: Investor Day &amp; Updated Long-Term Targets</w:t>
      </w:r>
    </w:p>
    <w:p>
      <w:pPr>
        <w:spacing w:before="120" w:after="100"/>
      </w:pPr>
      <w:r>
        <w:rPr>
          <w:b/>
          <w:bCs/>
        </w:rPr>
        <w:t xml:space="preserve">Date: May 16, 2024</w:t>
      </w:r>
    </w:p>
    <w:p>
      <w:pPr>
        <w:spacing w:after="100"/>
      </w:pPr>
      <w:r>
        <w:rPr>
          <w:b/>
          <w:bCs/>
        </w:rPr>
        <w:t xml:space="preserve">Strategic Significance: High</w:t>
      </w:r>
    </w:p>
    <w:p>
      <w:pPr>
        <w:spacing w:before="80" w:after="120"/>
      </w:pPr>
      <w:r>
        <w:t xml:space="preserve">Parker hosted an Investor Day in New York City where management presented the company's strategic vision and updated five-year financial targets through fiscal 2029. The event highlighted transformation achievements post-Meggitt integration, Win Strategy operational improvements, and secular growth drivers positioning Parker for sustained outperformance.</w:t>
      </w:r>
    </w:p>
    <w:p>
      <w:pPr>
        <w:spacing w:before="100" w:after="100"/>
      </w:pPr>
      <w:r>
        <w:rPr>
          <w:b/>
          <w:bCs/>
        </w:rPr>
        <w:t xml:space="preserve">Key Themes:</w:t>
      </w:r>
    </w:p>
    <w:p>
      <w:pPr>
        <w:pStyle w:val="ListParagraph"/>
        <w:numPr>
          <w:ilvl w:val="0"/>
          <w:numId w:val="2"/>
        </w:numPr>
      </w:pPr>
      <w:r>
        <w:t xml:space="preserve">Portfolio Transformation: Post-Meggitt, aerospace represents 33% of revenue (up from ~20% pre-acquisition), creating balanced exposure between secular growth aerospace and resilient industrial markets</w:t>
      </w:r>
    </w:p>
    <w:p>
      <w:pPr>
        <w:pStyle w:val="ListParagraph"/>
        <w:numPr>
          <w:ilvl w:val="0"/>
          <w:numId w:val="2"/>
        </w:numPr>
      </w:pPr>
      <w:r>
        <w:t xml:space="preserve">Interconnected Technologies: Two-thirds of customers purchase 4+ Parker technologies, demonstrating systems integration value proposition and creating switching costs</w:t>
      </w:r>
    </w:p>
    <w:p>
      <w:pPr>
        <w:pStyle w:val="ListParagraph"/>
        <w:numPr>
          <w:ilvl w:val="0"/>
          <w:numId w:val="2"/>
        </w:numPr>
      </w:pPr>
      <w:r>
        <w:t xml:space="preserve">Win Strategy 3.0: Business system evolution focusing on safety excellence (zero incidents goal by 2030), customer experience (NPS improvement), profitable growth (design-in wins), and financial performance (margin expansion)</w:t>
      </w:r>
    </w:p>
    <w:p>
      <w:pPr>
        <w:pStyle w:val="ListParagraph"/>
        <w:numPr>
          <w:ilvl w:val="0"/>
          <w:numId w:val="2"/>
        </w:numPr>
      </w:pPr>
      <w:r>
        <w:t xml:space="preserve">Capital Deployment: $35 billion cumulative deployment capacity through FY2029 allocated to M&amp;A (acquisitions like Filtration Group), share repurchases, and dividend growth (targeting 68+ consecutive years)</w:t>
      </w:r>
    </w:p>
    <w:p>
      <w:pPr>
        <w:spacing w:before="100" w:after="120"/>
      </w:pPr>
      <w:r>
        <w:rPr>
          <w:b/>
          <w:bCs/>
        </w:rPr>
        <w:t xml:space="preserve">Ambitious Long-Term Targets (FY2029):</w:t>
      </w:r>
    </w:p>
    <w:p>
      <w:pPr>
        <w:spacing w:after="120"/>
      </w:pPr>
      <w:r>
        <w:t xml:space="preserve">Management raised targets from prior fiscal 2027 goals, reflecting confidence in execution and secular tailwinds. New targets position Parker in the top quartile of diversified industrial peers across margin, return, and growth metrics.</w:t>
      </w:r>
    </w:p>
    <w:p>
      <w:pPr>
        <w:pStyle w:val="Heading2"/>
        <w:spacing w:before="240"/>
      </w:pPr>
      <w:r>
        <w:t xml:space="preserve">Q3 FY2024 Results (May 2024)</w:t>
      </w:r>
    </w:p>
    <w:p>
      <w:pPr>
        <w:spacing w:before="120" w:after="100"/>
      </w:pPr>
      <w:r>
        <w:rPr>
          <w:b/>
          <w:bCs/>
        </w:rPr>
        <w:t xml:space="preserve">Date: May 2, 2024</w:t>
      </w:r>
    </w:p>
    <w:p>
      <w:pPr>
        <w:spacing w:before="80" w:after="120"/>
      </w:pPr>
      <w:r>
        <w:t xml:space="preserve">Third quarter fiscal 2024 results (quarter ended March 31, 2024) showed continued aerospace momentum and margin expansion despite industrial market headwinds. Sales were $5.07 billion (flat YoY reported, +3% organic excluding divestitures). Adjusted segment operating margin improved 140 bps to 24.5%. Adjusted EPS increased 10% to $6.51.</w:t>
      </w:r>
    </w:p>
    <w:p>
      <w:pPr>
        <w:spacing w:before="100" w:after="100"/>
      </w:pPr>
      <w:r>
        <w:rPr>
          <w:b/>
          <w:bCs/>
        </w:rPr>
        <w:t xml:space="preserve">Segment Performance:</w:t>
      </w:r>
    </w:p>
    <w:p>
      <w:pPr>
        <w:pStyle w:val="ListParagraph"/>
        <w:numPr>
          <w:ilvl w:val="0"/>
          <w:numId w:val="2"/>
        </w:numPr>
      </w:pPr>
      <w:r>
        <w:t xml:space="preserve">Aerospace Systems: Record $1.4 billion sales (+18% organic) with commercial OE and aftermarket both growing double digits; segment margins expanded to 19.8%</w:t>
      </w:r>
    </w:p>
    <w:p>
      <w:pPr>
        <w:pStyle w:val="ListParagraph"/>
        <w:numPr>
          <w:ilvl w:val="0"/>
          <w:numId w:val="2"/>
        </w:numPr>
      </w:pPr>
      <w:r>
        <w:t xml:space="preserve">Diversified Industrial North America: $2.2 billion sales (-4.6% organic) reflecting industrial destocking and HVAC/R softness</w:t>
      </w:r>
    </w:p>
    <w:p>
      <w:pPr>
        <w:pStyle w:val="ListParagraph"/>
        <w:numPr>
          <w:ilvl w:val="0"/>
          <w:numId w:val="2"/>
        </w:numPr>
      </w:pPr>
      <w:r>
        <w:t xml:space="preserve">Diversified Industrial International: $1.4 billion sales (-3.1% organic) with Europe and Asia weakness</w:t>
      </w:r>
    </w:p>
    <w:p>
      <w:pPr>
        <w:spacing w:before="100" w:after="120"/>
      </w:pPr>
      <w:r>
        <w:rPr>
          <w:b/>
          <w:bCs/>
        </w:rPr>
        <w:t xml:space="preserve">Cash Flow &amp; Balance Sheet:</w:t>
      </w:r>
    </w:p>
    <w:p>
      <w:pPr>
        <w:spacing w:after="120"/>
      </w:pPr>
      <w:r>
        <w:t xml:space="preserve">Year-to-date cash flow from operations increased 20% to record $2.1 billion (14.6% of sales). Free cash flow reached $1.9 billion (12.6% of sales). Debt reduced by $420 million in Q3, bringing total deleveraging since Meggitt close to $2.6 billion. Management raised full-year guidance based on strong Q3 execution, increasing adjusted EPS outlook to $24.75 (from $24.65 midpoint).</w:t>
      </w:r>
    </w:p>
    <w:p>
      <w:pPr>
        <w:pStyle w:val="Heading2"/>
        <w:spacing w:before="240"/>
      </w:pPr>
      <w:r>
        <w:t xml:space="preserve">Q1 FY2024 Results (November 2023)</w:t>
      </w:r>
    </w:p>
    <w:p>
      <w:pPr>
        <w:spacing w:before="120" w:after="100"/>
      </w:pPr>
      <w:r>
        <w:rPr>
          <w:b/>
          <w:bCs/>
        </w:rPr>
        <w:t xml:space="preserve">Date: November 2, 2023</w:t>
      </w:r>
    </w:p>
    <w:p>
      <w:pPr>
        <w:spacing w:before="80" w:after="120"/>
      </w:pPr>
      <w:r>
        <w:t xml:space="preserve">First quarter fiscal 2024 (quarter ended September 30, 2023) delivered record sales of $4.8 billion (+15% reported, including Meggitt), adjusted EPS of $5.96 (+26%), and operating cash flow of $650 million (13.4% of sales). Results exceeded expectations across all metrics, prompting Parker to raise full-year guidance.</w:t>
      </w:r>
    </w:p>
    <w:p>
      <w:pPr>
        <w:spacing w:before="100" w:after="100"/>
      </w:pPr>
      <w:r>
        <w:rPr>
          <w:b/>
          <w:bCs/>
        </w:rPr>
        <w:t xml:space="preserve">Performance Drivers:</w:t>
      </w:r>
    </w:p>
    <w:p>
      <w:pPr>
        <w:pStyle w:val="ListParagraph"/>
        <w:numPr>
          <w:ilvl w:val="0"/>
          <w:numId w:val="2"/>
        </w:numPr>
      </w:pPr>
      <w:r>
        <w:t xml:space="preserve">Meggitt integration ahead of schedule with synergy realization exceeding targets</w:t>
      </w:r>
    </w:p>
    <w:p>
      <w:pPr>
        <w:pStyle w:val="ListParagraph"/>
        <w:numPr>
          <w:ilvl w:val="0"/>
          <w:numId w:val="2"/>
        </w:numPr>
      </w:pPr>
      <w:r>
        <w:t xml:space="preserve">Aerospace strong double-digit organic growth in both commercial and defense</w:t>
      </w:r>
    </w:p>
    <w:p>
      <w:pPr>
        <w:pStyle w:val="ListParagraph"/>
        <w:numPr>
          <w:ilvl w:val="0"/>
          <w:numId w:val="2"/>
        </w:numPr>
      </w:pPr>
      <w:r>
        <w:t xml:space="preserve">Adjusted segment operating margins expanded 180 bps to 23.5% despite volume headwinds</w:t>
      </w:r>
    </w:p>
    <w:p>
      <w:pPr>
        <w:pStyle w:val="ListParagraph"/>
        <w:numPr>
          <w:ilvl w:val="0"/>
          <w:numId w:val="2"/>
        </w:numPr>
      </w:pPr>
      <w:r>
        <w:t xml:space="preserve">Price realization of 3-4% offsetting inflation and mix impacts</w:t>
      </w:r>
    </w:p>
    <w:p>
      <w:pPr>
        <w:spacing w:before="100" w:after="120"/>
      </w:pPr>
      <w:r>
        <w:rPr>
          <w:b/>
          <w:bCs/>
        </w:rPr>
        <w:t xml:space="preserve">Management Commentary:</w:t>
      </w:r>
    </w:p>
    <w:p>
      <w:pPr>
        <w:spacing w:after="120"/>
      </w:pPr>
      <w:r>
        <w:t xml:space="preserve">CEO Jenny Parmentier: "With such a strong start to the fiscal year, we have raised our guidance for fiscal 2024. Our focus remains on being the safest industrial company in the world, serving our customers, strengthening our operations and expanding margins. These priorities coupled with favorable secular growth trends will help accelerate our performance through the cycle and achieve our long-term financial targets. We have a very promising future."</w:t>
      </w:r>
    </w:p>
    <w:p>
      <w:pPr>
        <w:pStyle w:val="Heading2"/>
        <w:spacing w:before="240"/>
      </w:pPr>
      <w:r>
        <w:t xml:space="preserve">Other Significant Events</w:t>
      </w:r>
    </w:p>
    <w:p>
      <w:pPr>
        <w:pStyle w:val="Heading3"/>
        <w:spacing w:before="180"/>
      </w:pPr>
      <w:r>
        <w:t xml:space="preserve">Leadership &amp; Governance</w:t>
      </w:r>
    </w:p>
    <w:p>
      <w:pPr>
        <w:pStyle w:val="ListParagraph"/>
        <w:numPr>
          <w:ilvl w:val="0"/>
          <w:numId w:val="2"/>
        </w:numPr>
      </w:pPr>
      <w:r>
        <w:t xml:space="preserve">January 2024: Jenny Parmentier appointed Chairman of the Board (in addition to CEO role assumed January 2023), succeeding Tom Williams who retired</w:t>
      </w:r>
    </w:p>
    <w:p>
      <w:pPr>
        <w:pStyle w:val="ListParagraph"/>
        <w:numPr>
          <w:ilvl w:val="0"/>
          <w:numId w:val="2"/>
        </w:numPr>
      </w:pPr>
      <w:r>
        <w:t xml:space="preserve">Andy Ross continues as President &amp; Chief Operating Officer, overseeing both business segments</w:t>
      </w:r>
    </w:p>
    <w:p>
      <w:pPr>
        <w:pStyle w:val="ListParagraph"/>
        <w:numPr>
          <w:ilvl w:val="0"/>
          <w:numId w:val="2"/>
        </w:numPr>
      </w:pPr>
      <w:r>
        <w:t xml:space="preserve">Leadership team demonstrates strong continuity with deep Parker experience</w:t>
      </w:r>
    </w:p>
    <w:p>
      <w:pPr>
        <w:pStyle w:val="Heading3"/>
        <w:spacing w:before="180"/>
      </w:pPr>
      <w:r>
        <w:t xml:space="preserve">ESG &amp; Sustainability</w:t>
      </w:r>
    </w:p>
    <w:p>
      <w:pPr>
        <w:pStyle w:val="ListParagraph"/>
        <w:numPr>
          <w:ilvl w:val="0"/>
          <w:numId w:val="2"/>
        </w:numPr>
      </w:pPr>
      <w:r>
        <w:t xml:space="preserve">Reaffirmed carbon-neutral operations commitment by 2040</w:t>
      </w:r>
    </w:p>
    <w:p>
      <w:pPr>
        <w:pStyle w:val="ListParagraph"/>
        <w:numPr>
          <w:ilvl w:val="0"/>
          <w:numId w:val="2"/>
        </w:numPr>
      </w:pPr>
      <w:r>
        <w:t xml:space="preserve">Safety performance: 0.31 recordable incident rate, 45% reduction over 5 years; targeting zero incidents by 2030</w:t>
      </w:r>
    </w:p>
    <w:p>
      <w:pPr>
        <w:pStyle w:val="ListParagraph"/>
        <w:numPr>
          <w:ilvl w:val="0"/>
          <w:numId w:val="2"/>
        </w:numPr>
      </w:pPr>
      <w:r>
        <w:t xml:space="preserve">Two-thirds of Parker's product portfolio enables clean technology solutions</w:t>
      </w:r>
    </w:p>
    <w:p>
      <w:pPr>
        <w:pStyle w:val="Heading3"/>
        <w:spacing w:before="180"/>
      </w:pPr>
      <w:r>
        <w:t xml:space="preserve">Operational Milestones</w:t>
      </w:r>
    </w:p>
    <w:p>
      <w:pPr>
        <w:pStyle w:val="ListParagraph"/>
        <w:numPr>
          <w:ilvl w:val="0"/>
          <w:numId w:val="2"/>
        </w:numPr>
      </w:pPr>
      <w:r>
        <w:t xml:space="preserve">Completed Meggitt wheel &amp; brake business divestiture to Kaman Corporation for $440 million (closed Q1 FY2024)</w:t>
      </w:r>
    </w:p>
    <w:p>
      <w:pPr>
        <w:pStyle w:val="ListParagraph"/>
        <w:numPr>
          <w:ilvl w:val="0"/>
          <w:numId w:val="2"/>
        </w:numPr>
      </w:pPr>
      <w:r>
        <w:t xml:space="preserve">Achieved 89% High Performance Team (HPT) participation rate with 6,000+ active teams driving continuous improvement</w:t>
      </w:r>
    </w:p>
    <w:p>
      <w:pPr>
        <w:pStyle w:val="ListParagraph"/>
        <w:numPr>
          <w:ilvl w:val="0"/>
          <w:numId w:val="2"/>
        </w:numPr>
      </w:pPr>
      <w:r>
        <w:t xml:space="preserve">Employee engagement score of 73% with 91% response rate</w:t>
      </w:r>
    </w:p>
    <w:p>
      <w:pPr>
        <w:pStyle w:val="ListParagraph"/>
        <w:numPr>
          <w:ilvl w:val="0"/>
          <w:numId w:val="2"/>
        </w:numPr>
      </w:pPr>
      <w:r>
        <w:t xml:space="preserve">Expanded global manufacturing footprint to 335 plants across 43 countries</w:t>
      </w:r>
    </w:p>
    <w:p>
      <w:pPr>
        <w:pStyle w:val="Heading3"/>
        <w:spacing w:before="180"/>
      </w:pPr>
      <w:r>
        <w:t xml:space="preserve">Awards &amp; Recognition</w:t>
      </w:r>
    </w:p>
    <w:p>
      <w:pPr>
        <w:pStyle w:val="ListParagraph"/>
        <w:numPr>
          <w:ilvl w:val="0"/>
          <w:numId w:val="2"/>
        </w:numPr>
      </w:pPr>
      <w:r>
        <w:t xml:space="preserve">Fortune 250 ranking maintained (based on FY2023 revenue of $19.1 billion)</w:t>
      </w:r>
    </w:p>
    <w:p>
      <w:pPr>
        <w:pStyle w:val="ListParagraph"/>
        <w:numPr>
          <w:ilvl w:val="0"/>
          <w:numId w:val="2"/>
        </w:numPr>
      </w:pPr>
      <w:r>
        <w:t xml:space="preserve">68 consecutive years of annual dividend increases (among top 5 in S&amp;P 500)</w:t>
      </w:r>
    </w:p>
    <w:p>
      <w:pPr>
        <w:pStyle w:val="ListParagraph"/>
        <w:numPr>
          <w:ilvl w:val="0"/>
          <w:numId w:val="2"/>
        </w:numPr>
      </w:pPr>
      <w:r>
        <w:t xml:space="preserve">Multiple supplier excellence awards from Boeing, Airbus, Lockheed Martin for quality and delivery performance</w:t>
      </w:r>
    </w:p>
    <w:p>
      <w:pPr>
        <w:pStyle w:val="Heading2"/>
        <w:spacing w:before="240"/>
      </w:pPr>
      <w:r>
        <w:t xml:space="preserve">Forward-Looking Considerations</w:t>
      </w:r>
    </w:p>
    <w:p>
      <w:pPr>
        <w:spacing w:before="120" w:after="120"/>
      </w:pPr>
      <w:r>
        <w:t xml:space="preserve">Parker enters calendar 2025 with strong momentum despite mixed near-term industrial signals. The Filtration Group acquisition pending close adds $2 billion revenue and 85% aftermarket content, accelerating portfolio transformation. Management's raised FY2029 targets (27% segment margin, 28% EBITDA margin, 17% FCF margin) reflect confidence in secular aerospace growth, Win Strategy execution, and M&amp;A integration capabilities. Key catalysts to monitor: (1) Industrial demand recovery timing (H2 FY2025 inflection), (2) Filtration Group deal close and integration execution, (3) Aerospace production rate trajectory (Boeing 737 MAX, GTF engine reliability), (4) Margin progression toward 27% target, (5) Capital deployment (share buybacks, bolt-on M&amp;A). Risks include industrial cycle downturn, integration challenges, geopolitical tensions impacting supply chains, and aerospace OEM quality/certification delays.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6"/>
      <w:szCs w:val="26"/>
    </w:rPr>
  </w:style>
  <w:style w:type="paragraph" w:styleId="Heading3">
    <w:name w:val="Heading 3"/>
    <w:basedOn w:val="Normal"/>
    <w:next w:val="Normal"/>
    <w:qFormat/>
    <w:pPr>
      <w:spacing w:before="140" w:after="80"/>
      <w:outlineLvl w:val="2"/>
    </w:pPr>
    <w:rPr>
      <w:rFonts w:ascii="Arial" w:cs="Arial" w:eastAsia="Arial" w:hAnsi="Arial"/>
      <w:b/>
      <w:bCs/>
      <w:color w:val="365F9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2025-12-05T22:10:50.514Z</dcterms:created>
  <dcterms:modified xsi:type="dcterms:W3CDTF">2025-12-05T22:10:50.515Z</dcterms:modified>
</cp:coreProperties>
</file>

<file path=docProps/custom.xml><?xml version="1.0" encoding="utf-8"?>
<Properties xmlns="http://schemas.openxmlformats.org/officeDocument/2006/custom-properties" xmlns:vt="http://schemas.openxmlformats.org/officeDocument/2006/docPropsVTypes"/>
</file>