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42"/>
        <w:gridCol w:w="2452"/>
        <w:gridCol w:w="3407"/>
        <w:gridCol w:w="220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ms-Bites (kg/hour)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Plectroglyphidodon lacrymatus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Abudefduf sparoides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Canthigaster valentini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aruanus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Paraluteres prionurus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Cantherhines pardalis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oxycephalus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Labroides dimidiatus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Sufflamen chrysopterum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Canthigaster bennetti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4.06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Excavators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Plectroglyphidodon lacrymatus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lepidolepis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amblycephalum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lunula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chlorourus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trilobatus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Gomphosus caeruleus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hebraicum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Piscivores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Lutjanus fulviflamma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Piscivores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Plectorhinchus gaterinus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6.98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9.90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Zebrasoma scopas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Browsers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Siganus luridus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frenatus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2.35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Plectroglyphidodon lacrymatus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kleinii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Pomacentrus baenschi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dimidiata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Meiacanthus mossambicus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amblycephalum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Anampses twistii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Cantherhines pardalis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guttatissimus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melannotus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oxycephalus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Gomphosus caeruleus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Labrichthys unilineatus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Labroides dimidiatus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Oxycheilinus digramma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Parupeneus macronemus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Sufflamen chrysopterum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hebraicum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Piscivores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Plagiotremus tapeinosoma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15.66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9.56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3.10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truncatus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Browsers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Naso annulatus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niger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Excavators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2.66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trimaculatus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trifascialis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Hemigymnus melapterus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Neoglyphidodon melas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Acanthurus tennenti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18.05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6.87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Browsers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Calotomus carolinus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Hipposcarus harid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frenatus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niger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Excavators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trimaculatus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Acanthurus nigricauda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Acanthurus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Zebrasoma scopas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Amblyglyphidodon indicus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6.18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trimaculatus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Paraluteres prionurus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atripectoralis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viridis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Bodianus axillaris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trifascialis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Gomphosus caeruleus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2022-06-21T15:06:27Z</dcterms:modified>
  <cp:category/>
</cp:coreProperties>
</file>