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42"/>
        <w:gridCol w:w="2452"/>
        <w:gridCol w:w="3407"/>
        <w:gridCol w:w="220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ms-Bites (kg/hour)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Abudefduf sparoides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valentini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aruanus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Canthigaster bennetti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4.06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lepidolepis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lunula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chlorourus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trilobatus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Lutjanus fulviflamma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Plectorhinchus gaterinus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6.98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9.90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Siganus luridus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2.35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Plectroglyphidodon lacrymatus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kleinii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Pomacentrus baenschi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dimidiata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Meiacanthus mossambicus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amblycephalum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Anampses twistii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Cantherhines pardalis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guttatissimus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melannotus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Cheilinus oxycephalus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Labrichthys unilineatus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Labroides dimidiatus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Oxycheilinus digramma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Parupeneus macronemus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Sufflamen chrysopterum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hebraicum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Piscivores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Plagiotremus tapeinosoma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15.66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9.56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3.10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truncatus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Naso annulatus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Hemigymnus melapterus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Neoglyphidodon melas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tennenti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binotatus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18.05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6.87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Browsers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Calotomus carolinus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Hipposcarus harid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frenatus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niger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Excavators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Chlorurus sordidus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nigricauda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Acanthurus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Centropyge multispinis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Ctenochaetus striatus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Grazers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Zebrasoma scopas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ghobban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Scrapers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Scarus psittacus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Territorial damselfish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Amblyglyphidodon indicus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6.18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Dascyllus trimaculatus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Omnivores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Paraluteres prionurus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atripectoralis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Planktivores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Chromis viridis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Bodianus axillaris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Chaetodon trifascialis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Gomphosus caeruleus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Invertivores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Thalassoma lunare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2022-06-13T11:53:54Z</dcterms:modified>
  <cp:category/>
</cp:coreProperties>
</file>