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Juniper seed transfer procedure</w:t>
      </w:r>
    </w:p>
    <w:p>
      <w:r>
        <w:t>Anika Rao prepared this procedure for the autumn archive handover. Accept only dry, labelled packets; quarantine any packet whose seal or moisture record is uncertain.</w:t>
      </w:r>
    </w:p>
    <w:p>
      <w:pPr>
        <w:pStyle w:val="Heading1"/>
      </w:pPr>
      <w:r>
        <w:t>Intake checks</w:t>
      </w:r>
    </w:p>
    <w:p>
      <w:r>
        <w:t>Record the packet mass before sealing</w:t>
      </w:r>
      <w:bookmarkStart w:id="91" w:name="FreshMassRule"/>
      <w:r>
        <w:rPr>
          <w:vertAlign w:val="superscript"/>
        </w:rPr>
        <w:footnoteReference w:id="1"/>
      </w:r>
      <w:bookmarkEnd w:id="91"/>
      <w:r>
        <w:t>. Repeat the measurement if the scale was moved.</w:t>
      </w:r>
    </w:p>
    <w:p>
      <w:r>
        <w:t>Apply the same mass rule after repacking</w:t>
      </w:r>
      <w:fldSimple w:instr=" NOTEREF FreshMassRule \h ">
        <w:r>
          <w:rPr>
            <w:vertAlign w:val="superscript"/>
          </w:rPr>
          <w:t>1</w:t>
        </w:r>
      </w:fldSimple>
      <w:r>
        <w:t>. The reused note defines one rule for both steps.</w:t>
      </w:r>
    </w:p>
    <w:p>
      <w:r>
        <w:t>Quarantine packets showing condensation</w:t>
      </w:r>
      <w:r>
        <w:rPr>
          <w:vertAlign w:val="superscript"/>
        </w:rPr>
        <w:footnoteReference w:id="2"/>
      </w:r>
      <w:r>
        <w:t>. Anika reviews the quarantine shelf each Friday.</w:t>
      </w:r>
    </w:p>
    <w:p>
      <w:r>
        <w:t>The retention schedule is documented in the archive handbook</w:t>
      </w:r>
      <w:r>
        <w:rPr>
          <w:vertAlign w:val="superscript"/>
        </w:rPr>
        <w:endnoteReference w:id="1"/>
      </w:r>
      <w:r>
        <w:t>.</w:t>
      </w:r>
    </w:p>
    <w:p>
      <w:r>
        <w:t xml:space="preserve">Reference: </w:t>
      </w:r>
      <w:hyperlink r:id="rIdFreshHandbook">
        <w:r>
          <w:t>Archive handbook section 4</w:t>
        </w:r>
      </w:hyperlink>
    </w:p>
    <w:p>
      <w:pPr>
        <w:pStyle w:val="Heading2"/>
      </w:pPr>
      <w:r>
        <w:t>Packing sequence</w:t>
      </w:r>
    </w:p>
    <w:p>
      <w:pPr>
        <w:numPr>
          <w:ilvl w:val="0"/>
          <w:numId w:val="43"/>
        </w:numPr>
      </w:pPr>
      <w:r>
        <w:t>Weigh the dry packet.</w:t>
      </w:r>
    </w:p>
    <w:p>
      <w:pPr>
        <w:numPr>
          <w:ilvl w:val="1"/>
          <w:numId w:val="43"/>
        </w:numPr>
      </w:pPr>
      <w:r>
        <w:t>Inspect the inner sleeve.</w:t>
      </w:r>
    </w:p>
    <w:p>
      <w:pPr>
        <w:numPr>
          <w:ilvl w:val="1"/>
          <w:numId w:val="43"/>
        </w:numPr>
      </w:pPr>
      <w:r>
        <w:t>Record any tear before replacing it.</w:t>
      </w:r>
    </w:p>
    <w:p>
      <w:pPr>
        <w:numPr>
          <w:ilvl w:val="0"/>
          <w:numId w:val="43"/>
        </w:numPr>
      </w:pPr>
      <w:r>
        <w:t>Seal the packet and attach its label.</w:t>
      </w:r>
    </w:p>
    <w:p>
      <w:pPr>
        <w:pStyle w:val="Caption"/>
      </w:pPr>
      <w:r>
        <w:t>Table 1. Acceptance limits for the dry packet handover.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rPr>
                <w:sz w:val="18"/>
              </w:rPr>
              <w:t>Acceptance 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Mass tolerance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Moisture ceiling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Juniper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±0.03 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Rowan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±0.05 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9.5%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212080" cy="1885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85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Label placement follows sealing; the three boxes show the required order.</w:t>
      </w:r>
    </w:p>
    <w:p>
      <w:pPr>
        <w:pStyle w:val="Heading1"/>
        <w:pageBreakBefore/>
      </w:pPr>
      <w:r>
        <w:t>Transfer verification</w:t>
      </w:r>
    </w:p>
    <w:p>
      <w:pPr>
        <w:numPr>
          <w:ilvl w:val="0"/>
          <w:numId w:val="44"/>
        </w:numPr>
      </w:pPr>
      <w:r>
        <w:t>Compare the destination code with the manifest.</w:t>
      </w:r>
    </w:p>
    <w:p>
      <w:pPr>
        <w:numPr>
          <w:ilvl w:val="1"/>
          <w:numId w:val="44"/>
        </w:numPr>
      </w:pPr>
      <w:r>
        <w:t>Read the code aloud to the receiving clerk.</w:t>
      </w:r>
    </w:p>
    <w:p>
      <w:pPr>
        <w:numPr>
          <w:ilvl w:val="0"/>
          <w:numId w:val="44"/>
        </w:numPr>
      </w:pPr>
      <w:r>
        <w:t>Sign only after both counts agree.</w:t>
      </w:r>
    </w:p>
    <w:p>
      <w:r>
        <w:t>The second sequence deliberately restarts at 1. A disagreement blocks transfer until the manifest is corrected.</w:t>
      </w:r>
    </w:p>
    <w:p>
      <w:pPr>
        <w:pStyle w:val="Heading2"/>
      </w:pPr>
      <w:r>
        <w:t>Packet readiness</w:t>
      </w:r>
    </w:p>
    <w:p>
      <w:r>
        <w:t>The saved native chart shows 24 ready packets and 6 quarantined packets. These are the source counts, not a forecast.</w:t>
      </w:r>
    </w:p>
    <w:p>
      <w:r xmlns:a="http://schemas.openxmlformats.org/drawingml/2006/main" xmlns:c="http://schemas.openxmlformats.org/drawingml/2006/chart">
        <w:drawing>
          <wp:inline>
            <wp:extent cx="4800000" cy="2300000"/>
            <wp:docPr id="77" name="Packet readiness chart" descr="Ready 24; Quarantine 6"/>
            <a:graphic>
              <a:graphicData uri="http://schemas.openxmlformats.org/drawingml/2006/chart">
                <c:chart r:id="rIdFreshChart"/>
              </a:graphicData>
            </a:graphic>
          </wp:inline>
        </w:drawing>
      </w:r>
    </w:p>
    <w:p>
      <w:pPr>
        <w:pStyle w:val="Caption"/>
      </w:pPr>
      <w:r>
        <w:t>Figure 2. Cached native chart of packet readiness at the handover.</w:t>
      </w:r>
    </w:p>
    <w:p>
      <w:r>
        <w:t>Do not return quarantined packets to the ready shelf without a new moisture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endnoteRef/>
      </w:r>
      <w:r>
        <w:t xml:space="preserve"> Retention schedule: keep a signed handover record for 18 months after the transfer date.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training copy | Keep packets dry during every transfer</w:t>
    </w:r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 xml:space="preserve"> Mass rule: use the dry mass in grams, rounded to two decimal places; include the inner sleeve but exclude the outer label.</w:t>
      </w:r>
    </w:p>
  </w:footnote>
  <w:footnote w:id="2">
    <w:p>
      <w:r>
        <w:footnoteRef/>
      </w:r>
      <w:r>
        <w:t xml:space="preserve"> Quarantine rule: condensation includes visible droplets or a damp inner sleeve, even when the packet mass is acceptable.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Juniper seed archive | Handling revision 3 | Owner Anika Rao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lowerLetter"/>
      <w:lvlText w:val="%2."/>
      <w:lvlJc w:val="left"/>
      <w:pPr>
        <w:ind w:left="720" w:hanging="240"/>
      </w:pPr>
    </w:lvl>
  </w:abstractNum>
  <w:num w:numId="43">
    <w:abstractNumId w:val="42"/>
    <w:lvlOverride w:ilvl="0">
      <w:startOverride w:val="1"/>
    </w:lvlOverride>
  </w:num>
  <w:num w:numId="44">
    <w:abstractNumId w:val="4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FreshFootnotes" Type="http://schemas.openxmlformats.org/officeDocument/2006/relationships/footnotes" Target="footnotes.xml"/><Relationship Id="rIdFreshEndnotes" Type="http://schemas.openxmlformats.org/officeDocument/2006/relationships/endnotes" Target="endnotes.xml"/><Relationship Id="rIdFreshChart" Type="http://schemas.openxmlformats.org/officeDocument/2006/relationships/chart" Target="charts/chart1.xml"/><Relationship Id="rIdFreshHandbook" Type="http://schemas.openxmlformats.org/officeDocument/2006/relationships/hyperlink" Target="https://example.org/juniper-archive/handbook#section-4" TargetMode="External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autoTitleDeleted val="1"/>
    <c:plotArea>
      <c:layout/>
      <c:barChart>
        <c:barDir val="col"/>
        <c:grouping val="clustered"/>
        <c:ser>
          <c:idx val="0"/>
          <c:order val="0"/>
          <c:tx>
            <c:v>Packet count</c:v>
          </c:tx>
          <c:cat>
            <c:strRef>
              <c:f>Readiness!$A$2:$A$3</c:f>
              <c:strCache>
                <c:ptCount val="2"/>
                <c:pt idx="0">
                  <c:v>Ready</c:v>
                </c:pt>
                <c:pt idx="1">
                  <c:v>Quarantine</c:v>
                </c:pt>
              </c:strCache>
            </c:strRef>
          </c:cat>
          <c:val>
            <c:numRef>
              <c:f>Readiness!$B$2:$B$3</c:f>
              <c:numCache>
                <c:formatCode>0</c:formatCode>
                <c:ptCount val="2"/>
                <c:pt idx="0">
                  <c:v>24</c:v>
                </c:pt>
                <c:pt idx="1">
                  <c:v>6</c:v>
                </c:pt>
              </c:numCache>
            </c:numRef>
          </c:val>
        </c:ser>
        <c:dLbls>
          <c:showVal val="1"/>
        </c:dLbls>
        <c:axId val="501"/>
        <c:axId val="502"/>
      </c:barChart>
      <c:catAx>
        <c:axId val="501"/>
        <c:scaling>
          <c:orientation val="minMax"/>
        </c:scaling>
        <c:axPos val="b"/>
        <c:tickLblPos val="nextTo"/>
        <c:crossAx val="502"/>
        <c:crosses val="autoZero"/>
      </c:catAx>
      <c:valAx>
        <c:axId val="502"/>
        <c:scaling>
          <c:orientation val="minMax"/>
        </c:scaling>
        <c:axPos val="l"/>
        <c:numFmt formatCode="0" sourceLinked="0"/>
        <c:tickLblPos val="nextTo"/>
        <c:crossAx val="501"/>
        <c:crosses val="autoZero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Juniper seed transfer procedure</dc:title>
  <dc:subject/>
  <dc:creator>Anika Rao</dc:creator>
  <cp:keywords/>
  <dc:description>generated by python-docx</dc:description>
  <cp:lastModifiedBy>Anika Rao</cp:lastModifiedBy>
  <cp:revision>1</cp:revision>
  <dcterms:created xsi:type="dcterms:W3CDTF">2026-09-22T09:00:00Z</dcterms:created>
  <dcterms:modified xsi:type="dcterms:W3CDTF">2026-09-22T09:00:00Z</dcterms:modified>
  <cp:category/>
</cp:coreProperties>
</file>