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 water-saving pilot</w:t>
      </w:r>
    </w:p>
    <w:p>
      <w:r>
        <w:t>Decision: extend the pilot to Pier B on 15 October 2026. Owner: Mira. The chart is evidence, not decoration.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Pier A</w:t>
            </w:r>
          </w:p>
        </w:tc>
        <w:tc>
          <w:tcPr>
            <w:tcW w:type="dxa" w:w="2880"/>
          </w:tcPr>
          <w:p>
            <w:r>
              <w:t>120 L/day</w:t>
            </w:r>
          </w:p>
        </w:tc>
        <w:tc>
          <w:tcPr>
            <w:tcW w:type="dxa" w:w="2880"/>
          </w:tcPr>
          <w:p>
            <w:r>
              <w:t>72 L/day</w:t>
            </w:r>
          </w:p>
        </w:tc>
      </w:tr>
      <w:tr>
        <w:tc>
          <w:tcPr>
            <w:tcW w:type="dxa" w:w="2880"/>
          </w:tcPr>
          <w:p>
            <w:r>
              <w:t>Pier B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r>
        <w:t>Water use before and after</w:t>
      </w:r>
    </w:p>
    <w:p>
      <w:r>
        <w:drawing>
          <wp:inline xmlns:a="http://schemas.openxmlformats.org/drawingml/2006/main" xmlns:pic="http://schemas.openxmlformats.org/drawingml/2006/picture">
            <wp:extent cx="5212080" cy="2895600"/>
            <wp:docPr id="1" name="primary-chart" title="Water use before and after" descr="120 to 72 litres/day, a 40% redu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-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Same chart for operations handoff</w:t>
      </w:r>
    </w:p>
    <w:p>
      <w:r>
        <w:drawing>
          <wp:inline xmlns:a="http://schemas.openxmlformats.org/drawingml/2006/main" xmlns:pic="http://schemas.openxmlformats.org/drawingml/2006/picture">
            <wp:extent cx="5212080" cy="2895600"/>
            <wp:docPr id="2" name="repeated-chart" title="Same chart for operations handoff" descr="120 to 72 litres/day, a 40% redu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-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constraint: budget capped at EUR 4,000.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synthetic briefing — review date 12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