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Lobbyist money pools around Congress's gatekeepers</w:t>
      </w:r>
    </w:p>
    <w:p>
      <w:r>
        <w:t>In 2025, contributions reported by registered federal lobbyists concentrated on the members of Congress who decide whether legislation moves. Rep. Brett Guthrie of Kentucky was the top recipient, with $694,295 from 177 distinct lobbying registrants. Guthrie chairs the House Committee on Energy and Commerce.</w:t>
      </w:r>
    </w:p>
    <w:p>
      <w:r>
        <w:t>The pattern holds down the leaderboard. Rep. Jason Smith of Missouri, who chairs Ways and Means, received $674,775 from lobbyist filers. Sen. Mark Warner of Virginia received $632,009. For the money-committee chairs, lobbyist contributions amounted to roughly 17 percent of Guthrie's entire campaign haul for the 2026 cycle.</w:t>
      </w:r>
    </w:p>
    <w:p>
      <w:r>
        <w:t>The disclosure system itself has no gatekeeper. The largest 2025 lobbying client by reported income is fictional: a Delaware filer calling itself the State of Loc Nation claimed $20,000,000 of lobbying income per quarter, $80 million for the year after amendment-aware de-duplication. One amended first-quarter filing was posted by Rev. Dr. Christina L. Clement on behalf of the LOC Community Association.</w:t>
      </w:r>
    </w:p>
    <w:p>
      <w:r>
        <w:t>Foreign companies under U.S. scrutiny also ramped their lobbying. Tencent's reported lobbying income reached $4.04 million in 2025, roughly five times its level from a year earlier. The Department of Defense added Tencent to its list of Chinese military companies in January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