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0072BB"/>
          <w:sz w:val="56"/>
          <w:szCs w:val="56"/>
        </w:rPr>
        <w:t xml:space="preserve">Чат-бот МОЭК</w:t>
      </w:r>
    </w:p>
    <w:p>
      <w:pPr>
        <w:spacing w:after="400"/>
        <w:jc w:val="center"/>
      </w:pPr>
      <w:r>
        <w:rPr>
          <w:color w:val="142857"/>
          <w:sz w:val="30"/>
          <w:szCs w:val="30"/>
        </w:rPr>
        <w:t xml:space="preserve">Настройка пилота и вопросы для согласования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Как бот настроен сейчас — и что нужно подтвердить или поправить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8F00" w:sz="4"/>
              <w:left w:val="single" w:color="FF8F00" w:sz="4"/>
              <w:bottom w:val="single" w:color="FF8F00" w:sz="4"/>
              <w:right w:val="single" w:color="FF8F00" w:sz="4"/>
            </w:tcBorders>
            <w:shd w:fill="FFF6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42857"/>
                <w:sz w:val="24"/>
                <w:szCs w:val="24"/>
              </w:rPr>
              <w:t xml:space="preserve">Как работать с документом</w:t>
            </w:r>
          </w:p>
          <w:p>
            <w:pPr>
              <w:spacing w:after="80" w:line="276"/>
            </w:pPr>
            <w:r>
              <w:rPr>
                <w:color w:val="222222"/>
                <w:sz w:val="21"/>
                <w:szCs w:val="21"/>
              </w:rPr>
              <w:t xml:space="preserve">По каждому блоку описано, как чат-бот настроен на текущий момент, с реальными примерами его ответов. От вас требуется минимум: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подтвердить, что текущая настройка подходит, либо</w:t>
            </w:r>
          </w:p>
          <w:p>
            <w:pPr>
              <w:spacing w:after="40"/>
            </w:pPr>
            <w:r>
              <w:rPr>
                <w:color w:val="222222"/>
                <w:sz w:val="21"/>
                <w:szCs w:val="21"/>
              </w:rPr>
              <w:t xml:space="preserve">• указать, что скорректировать (правку можно писать прямо в документе), либо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• отметить, что пункт не требуется для пилота.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1. Tone of voice (манера общения бота)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Как бот обращается к пользователю, насколько эмоционален, какой длины даёт ответы, использует ли эмодзи и приветствия, как реагирует на раздражение.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Заготовка на основе стиля сайта МОЭК (деловой, но доброжелательный). Подтвердите или поправьте акценты.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072BB"/>
          <w:sz w:val="26"/>
          <w:szCs w:val="26"/>
        </w:rPr>
        <w:t xml:space="preserve">Предлагаемый tone of 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Обращение: на «вы», нейтрально-уважительно, без имени пользователя.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Тон: деловой, спокойный, доброжелательный. Бот — помощник, а не «продавец».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Длина: коротко и по делу. Сложный ответ — структурировать списком, а не «стеной текста».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Эмодзи: не используются (официальный сервис ресурсоснабжающей организации).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Приветствие: одно короткое в начале сессии, без повторов в каждом сообщении.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Реакция на раздражение: не оправдывается и не спорит; сохраняет спокойствие, признаёт неудобство, предлагает конкретный следующий шаг или перевод на оператора.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Чего избегать: обещаний от лица МОЭК, оценок работы компании, юмора на чувствительные темы.</w:t>
            </w:r>
          </w:p>
        </w:tc>
      </w:tr>
    </w:tbl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Реальное приветствие бота (как есть сейчас):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«Здравствуйте! Подскажу по оплате, счётчикам, тарифам и переходу на прямой договор. С чего начнём?»</w:t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Реальный ответ на вопрос не по теме (как есть сейчас):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«Я консультант МОЭК и помогаю только по вопросам услуг компании. Чем могу помочь по отоплению, оплате или показаниям счётчиков?»</w:t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Вопрос для согласования: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Оставляем такой тон или скорректировать (теплее / строже / более официально)?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Формат ответов (кратко + списки) устраивает?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Эмодзи — оставляем без них или добавить лёгкие эмодзи для дружелюбности?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Как бот реально отвечает на содержательный вопрос (пример из системы):</w:t>
      </w:r>
    </w:p>
    <w:p>
      <w:pPr>
        <w:spacing w:after="120" w:line="276"/>
      </w:pPr>
      <w:r>
        <w:rPr>
          <w:i/>
          <w:iCs/>
          <w:color w:val="666666"/>
          <w:sz w:val="22"/>
          <w:szCs w:val="22"/>
        </w:rPr>
        <w:t xml:space="preserve">Запрос пользователя: «как передать счётчики в соц сетях»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МОЭК предоставляет возможность передать показания счётчиков через Телеграм-бот. Это удобный способ для пользователей мессенджера Telegram.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Как передать показания через Телеграм-бот: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1. Найдите в Telegram бота @MOEKteplo_bot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2. Запустите бота и нажмите кнопку «Передать показания»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3. Введите номер лицевого счёта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4. Введите номер квартиры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5. Введите текущие показания приборов учёта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Отправить показания можно в любое время суток, это занимает несколько секунд.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Источник: Передать показания счётчиков в Телеграм-боте МОЭК (со ссылкой на страницу).</w:t>
            </w:r>
          </w:p>
        </w:tc>
      </w:tr>
    </w:tbl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Обратите внимание: бот структурирует ответ по шагам и всегда прикладывает ссылку на источник.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2. Стоп-темы (где бот не действует по своей инициативе)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Темы, в которых самостоятельный ответ бота может разойтись с интересами или официальной позицией МОЭК. По ним бот придерживается согласованной формулировки и направляет пользователя в установленный порядок, а не рассуждает сам.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Мы прошли по сайту и выделили 5 зон риска. Просим отметить, где нужна осторожность, и дать согласованную формулировку (или подтвердить нашу).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pct" w:w="32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Зона риска</w:t>
            </w:r>
          </w:p>
        </w:tc>
        <w:tc>
          <w:tcPr>
            <w:tcW w:type="pct" w:w="68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Предлагаемое поведение бота (заготовка)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Точные суммы к оплате по конкретному лицевому счёту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Не называет суммы. Направляет в личный кабинет / к оператору: расчёт по ЛС видит только авторизованная система.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Причины и сроки перерасчёта в конкретном случае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Объясняет общий порядок, но по конкретной ситуации предлагает подать обращение — не обещает результат.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Задолженность, пени, судебное взыскание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Даёт общий порядок и контакты. Не оценивает правомерность начислений, не даёт юридических советов.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Аварии, качество услуги, вина сторон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Не определяет «кто виноват». Фиксирует обращение и направляет в диспетчерскую / аварийную службу.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Сравнение с другими поставщиками / оценка работы МОЭК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Не сравнивает и не оценивает. Отвечает только по услугам и порядку МОЭК.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Просьба: если по какой-то теме у вас есть готовая «правильная» формулировка — пришлите, бот будет отвечать строго ей.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3. Документация для базы знаний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Материалы, которые можно добавить в базу знаний бота, чтобы ответы были точнее.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Понимаем, что готовой пакетной документации может не быть. Поэтому — конкретный список того, что реально помогло бы, в порядке приоритета. Отметьте, что можете предоставить.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Регламенты / FAQ, которыми пользуются операторы контакт-центра (даже во внутреннем виде).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Актуальные тарифы и даты их изменения (если есть в виде таблицы/файла, а не только на сайте).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Порядок действий по типовым обращениям: перерасчёт, смена собственника, установка счётчика, льготы.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Список офисов/отделений с адресами и часами работы.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Официальные контакты: горячая линия, аварийная, диспетчерская.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Шаблоны официальных ответов на частые вопросы (если существуют).</w:t>
      </w:r>
    </w:p>
    <w:p>
      <w:pPr>
        <w:spacing w:after="120" w:line="276"/>
      </w:pPr>
      <w:r>
        <w:rPr>
          <w:i/>
          <w:iCs/>
          <w:color w:val="666666"/>
          <w:sz w:val="22"/>
          <w:szCs w:val="22"/>
        </w:rPr>
        <w:t xml:space="preserve">Если ничего из этого предоставить нельзя — бот работает по данным сайта. Просто отметьте это, чтобы мы зафиксировали границы базы знаний.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4. Обязательные дисклеймеры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Оговорки, которые бот обязан добавлять в определённых темах, чтобы снять юридическую ответственность.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Заготовки типовых дисклеймеров. Подтвердите формулировки или пришлите свои (согласованные юристом).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pct" w:w="32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Тема</w:t>
            </w:r>
          </w:p>
        </w:tc>
        <w:tc>
          <w:tcPr>
            <w:tcW w:type="pct" w:w="68%"/>
            <w:tcBorders>
              <w:top w:val="single" w:color="0072BB" w:sz="4"/>
              <w:left w:val="single" w:color="0072BB" w:sz="4"/>
              <w:bottom w:val="single" w:color="0072BB" w:sz="4"/>
              <w:right w:val="single" w:color="0072BB" w:sz="4"/>
            </w:tcBorders>
            <w:shd w:fill="0072B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Предлагаемый дисклеймер (заготовка)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Суммы / расчёты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«Информация носит справочный характер. Точную сумму к оплате смотрите в личном кабинете или уточняйте у оператора.»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Тарифы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«Тарифы указаны для ознакомления. Актуальные значения устанавливаются уполномоченным органом; проверяйте на официальном сайте.»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Сроки и процедуры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«Сроки приведены ориентировочно и могут отличаться в конкретной ситуации.»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Юридические вопросы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«Ответ не является юридической консультацией. По спорным вопросам обратитесь в контакт-центр МОЭК.»</w:t>
            </w:r>
          </w:p>
        </w:tc>
      </w:tr>
      <w:tr>
        <w:tc>
          <w:tcPr>
            <w:tcW w:type="pct" w:w="32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Аварийные ситуации</w:t>
            </w:r>
          </w:p>
        </w:tc>
        <w:tc>
          <w:tcPr>
            <w:tcW w:type="pct" w:w="68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«При угрозе жизни и имуществу немедленно звоните в аварийную службу по телефону, указанному ниже.»</w:t>
            </w:r>
          </w:p>
        </w:tc>
      </w:tr>
    </w:tbl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5. Приоритет источника при противоречии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Правило: какому источнику отдавать предпочтение, если два раздела дают разную информацию по одному вопросу.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Предлагаем правило по умолчанию. Подтвердите или поправьте порядок.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Предлагаемый порядок приоритета (сверху — главнее):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Официальные документы/регламенты, присланные МОЭК напрямую.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Специализированный раздел сайта (узкая тема важнее общей страницы).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Более свежий материал важнее устаревшего (по дате публикации).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Общие информационные страницы — в последнюю очередь.</w:t>
      </w:r>
    </w:p>
    <w:p>
      <w:pPr>
        <w:spacing w:after="120" w:line="276"/>
      </w:pPr>
      <w:r>
        <w:rPr>
          <w:i/>
          <w:iCs/>
          <w:color w:val="666666"/>
          <w:sz w:val="22"/>
          <w:szCs w:val="22"/>
        </w:rPr>
        <w:t xml:space="preserve">При неустранимом противоречии бот не выбирает сам, а сообщает, что информация требует уточнения, и направляет к оператору.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6. Примеры реальных обращений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Реальные (обезличенные) вопросы пользователей — чтобы настроить бота на то, как люди формулируют запросы на практике, а не в теории.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Это как раз то, что вы можете дать из опыта контакт-центра. Для примера — как это может выглядеть (обезличенно).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«Почему в этом месяце сумма больше, хотя я никого не прописывал?»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«Передал показания 26-го, они не учлись — что делать?»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«Хочу перейти на прямой договор, с чего начать?»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«Нет горячей воды третий день, куда звонить?»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«Как оформить льготу пенсионеру?»</w:t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Просьба: 20–50 обезличенных обращений из практики (без персональных данных) сильно повысят качество ответов бота.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7. Поведение в критических ситуациях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Как бот отвечает при происшествиях и острых обращениях и куда перенаправляет пользователя.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По обратной связи договорились упростить для пилота: бот не пытается решать критическую ситуацию сам, а показывает плашку «зову человека» и даёт экстренный контакт. Подтвердите контакты.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Предлагаемое поведение для пилота: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Бот распознаёт острую ситуацию (авария, прорыв, нет отопления/воды, угроза).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Не даёт инструкций и не оценивает — сразу показывает сообщение: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«Похоже, ситуация срочная. Сейчас подключу специалиста / оператора. Также вы можете позвонить: [аварийная служба — номер].»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Даёт официальный экстренный номер и, при необходимости, направляет в диспетчерскую.</w:t>
            </w:r>
          </w:p>
        </w:tc>
      </w:tr>
    </w:tbl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Нужно от вас: официальные номера — аварийная служба, диспетчерская, горячая линия.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8. Формат ответа, если ответ не найден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Что бот отвечает, когда в базе знаний нет информации по запросу пользователя.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По обратной связи — этот пункт формулируем сами. Предлагаем такой вариант: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Бот честно сообщает, что по этому вопросу у него нет проверенной информации (не выдумывает ответ).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Не отвечает «из общих знаний» — только по документам МОЭК.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Предлагает конкретный следующий шаг: обратиться к оператору / в контакт-центр.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Пример: «По этому вопросу у меня нет точной информации. Уточните, пожалуйста, в контакт-центре МОЭК: [номер]. Могу помочь с чем-то ещё?»</w:t>
            </w:r>
          </w:p>
        </w:tc>
      </w:tr>
    </w:tbl>
    <w:p>
      <w:pPr>
        <w:spacing w:after="120" w:line="276"/>
      </w:pPr>
      <w:r>
        <w:rPr>
          <w:b/>
          <w:bCs/>
          <w:color w:val="0072BB"/>
          <w:sz w:val="22"/>
          <w:szCs w:val="22"/>
        </w:rPr>
        <w:t xml:space="preserve">Это ключевое правило безопасности: лучше честно перенаправить, чем дать неверный ответ от лица МОЭК.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Когда ответ найден — бот всегда прикладывает ссылку на источник. Пример из системы:</w:t>
      </w:r>
    </w:p>
    <w:p>
      <w:pPr>
        <w:spacing w:after="120" w:line="276"/>
      </w:pPr>
      <w:r>
        <w:rPr>
          <w:i/>
          <w:iCs/>
          <w:color w:val="666666"/>
          <w:sz w:val="22"/>
          <w:szCs w:val="22"/>
        </w:rPr>
        <w:t xml:space="preserve">Запрос: «Где найти QR-код на квитанции?»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Если вы получаете бумажную квитанцию, QR-код находится на ней. Для оплаты по QR-коду откройте приложение вашего банка, выберите функцию «Оплата по QR-коду» и наведите камеру на код на квитанции.</w:t>
            </w:r>
          </w:p>
        </w:tc>
      </w:tr>
      <w:tr>
        <w:tc>
          <w:tcPr>
            <w:tcW w:type="pct" w:w="100%"/>
            <w:tcBorders>
              <w:top w:val="single" w:color="E0E6EB" w:sz="4"/>
              <w:left w:val="single" w:color="E0E6EB" w:sz="4"/>
              <w:bottom w:val="single" w:color="E0E6EB" w:sz="4"/>
              <w:right w:val="single" w:color="E0E6EB" w:sz="4"/>
            </w:tcBorders>
            <w:shd w:fill="F0F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color w:val="1A2233"/>
                <w:sz w:val="21"/>
                <w:szCs w:val="21"/>
              </w:rPr>
              <w:t xml:space="preserve">Источник: Как оплатить услуги по QR-коду (со ссылкой на конкретную страницу портала).</w:t>
            </w:r>
          </w:p>
        </w:tc>
      </w:tr>
    </w:tbl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При переходе по ссылке-источнику нужный фрагмент ответа автоматически подсвечивается на странице — пользователь сразу видит, откуда взята информация.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9. Обратная связь по тестированию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Что проверяли в предыдущем решении и где бот давал слабые или неверные ответы.</w:t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По обратной связи — оставляем пункт, но конкретизируем, что нам важно услышать.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222222"/>
          <w:sz w:val="22"/>
          <w:szCs w:val="22"/>
        </w:rPr>
        <w:t xml:space="preserve">Просим отметить, замечали ли вы у прежнего бота: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Ответы «мимо» — когда бот отвечал не по документам, а из общих знаний.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Реакцию на провокации / попытки увести с темы (jailbreak) — уводился ли бот с темы МОЭК.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Случаи, когда бот давал неверную или устаревшую информацию.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Темы, где ответы были особенно слабыми.</w:t>
      </w:r>
    </w:p>
    <w:p>
      <w:pPr>
        <w:spacing w:after="120" w:line="276"/>
      </w:pPr>
      <w:r>
        <w:rPr>
          <w:i/>
          <w:iCs/>
          <w:color w:val="666666"/>
          <w:sz w:val="22"/>
          <w:szCs w:val="22"/>
        </w:rPr>
        <w:t xml:space="preserve">Даже пара конкретных примеров «вот тут отвечал плохо» поможет нам направить настройку.</w:t>
      </w:r>
    </w:p>
    <w:p>
      <w:pPr>
        <w:spacing w:after="200" w:before="80"/>
      </w:pPr>
      <w:r>
        <w:rPr>
          <w:b/>
          <w:bCs/>
          <w:color w:val="142857"/>
          <w:sz w:val="21"/>
          <w:szCs w:val="21"/>
        </w:rPr>
        <w:t xml:space="preserve">Ваше решение: </w:t>
      </w:r>
      <w:r>
        <w:rPr>
          <w:color w:val="666666"/>
          <w:sz w:val="21"/>
          <w:szCs w:val="21"/>
        </w:rPr>
        <w:t xml:space="preserve">☐ подходит   ☐ поправить (укажите ниже)   ☐ не нужно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42857"/>
          <w:sz w:val="30"/>
          <w:szCs w:val="30"/>
        </w:rPr>
        <w:t xml:space="preserve">Что нужно от вас — коротко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Идеально — пройтись по пунктам и по каждому отметить одно из трёх: «подходит» / «поправить (с правкой)» / «не нужно». Самое ценное, что можем получить именно от вас: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Официальные телефоны: горячая линия, аварийная, диспетчерская (пункт 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Согласованные формулировки по стоп-темам и дисклеймерам (пункты 2, 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Обезличенные примеры реальных обращений (пункт 6).</w:t>
      </w:r>
    </w:p>
    <w:p>
      <w:pPr>
        <w:spacing w:after="80"/>
      </w:pPr>
      <w:r>
        <w:t xml:space="preserve"/>
      </w:r>
    </w:p>
    <w:p>
      <w:pPr>
        <w:spacing w:after="100" w:line="264"/>
      </w:pPr>
      <w:r>
        <w:rPr>
          <w:i/>
          <w:iCs/>
          <w:color w:val="666666"/>
          <w:sz w:val="20"/>
          <w:szCs w:val="20"/>
        </w:rPr>
        <w:t xml:space="preserve">Остальное мы уже предзаполнили на основе сайта — по этим пунктам достаточно вашего «да/нет».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2026-07-14T06:27:29.312Z</dcterms:created>
  <dcterms:modified xsi:type="dcterms:W3CDTF">2026-07-14T06:27:29.326Z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