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2875B99">
      <w:pPr>
        <w:pStyle w:val="13"/>
        <w:keepNext w:val="0"/>
        <w:keepLines w:val="0"/>
        <w:widowControl/>
        <w:suppressLineNumbers w:val="0"/>
        <w:spacing w:before="340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sz w:val="52"/>
          <w:szCs w:val="52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华润保险模块</w:t>
      </w:r>
    </w:p>
    <w:p w14:paraId="7716E1C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sz w:val="52"/>
          <w:szCs w:val="52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数据应用需求文档</w:t>
      </w:r>
    </w:p>
    <w:p w14:paraId="1B095BF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32"/>
          <w:szCs w:val="3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(固定报表管理、报表台账管理)</w:t>
      </w:r>
    </w:p>
    <w:p w14:paraId="3D5E8201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</w:pPr>
    </w:p>
    <w:p w14:paraId="0E142878">
      <w:pPr>
        <w:spacing w:before="200" w:after="160"/>
        <w:ind w:firstLine="640" w:firstLineChars="20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修订历史记录</w:t>
      </w:r>
    </w:p>
    <w:tbl>
      <w:tblPr>
        <w:tblStyle w:val="14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03"/>
        <w:gridCol w:w="1803"/>
        <w:gridCol w:w="2452"/>
        <w:gridCol w:w="1153"/>
      </w:tblGrid>
      <w:tr w14:paraId="15A0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A9BBCA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62369DE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18D993D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2096FB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修订内容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93822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审核人</w:t>
            </w:r>
          </w:p>
        </w:tc>
      </w:tr>
      <w:tr w14:paraId="5E6A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DDFBD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C34463">
            <w:pPr>
              <w:spacing w:before="40"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AC4124">
            <w:pPr>
              <w:spacing w:before="40" w:after="4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廖霞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FCFCA8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初始版本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13FC7D">
            <w:pPr>
              <w:spacing w:before="40" w:after="40"/>
              <w:jc w:val="center"/>
            </w:pPr>
          </w:p>
        </w:tc>
      </w:tr>
    </w:tbl>
    <w:p w14:paraId="3EFBB0ED">
      <w:pPr>
        <w:pStyle w:val="13"/>
        <w:keepNext w:val="0"/>
        <w:keepLines w:val="0"/>
        <w:pageBreakBefore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1BE7C5B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0" w:name="_Toc17519"/>
      <w:r>
        <w:rPr>
          <w:shd w:val="clear" w:fill="FFFFFF"/>
        </w:rPr>
        <w:t>一、引言</w:t>
      </w:r>
      <w:bookmarkEnd w:id="0"/>
    </w:p>
    <w:p w14:paraId="528250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1" w:name="_Toc31139"/>
      <w:r>
        <w:rPr>
          <w:shd w:val="clear" w:fill="FFFFFF"/>
        </w:rPr>
        <w:t>1、需求背景</w:t>
      </w:r>
      <w:bookmarkEnd w:id="1"/>
    </w:p>
    <w:p w14:paraId="2D4F5F6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金控集团战略部推进指标体系数据化应用，在金控指标体系之上建设「数据应用」，以「固定报表管理、报表台账管理」模块将各业务板块指标体系固化为线上报表，替代线下 Excel 报送与查阅，实现指标展示口径的统一与实时化。</w:t>
      </w:r>
    </w:p>
    <w:p w14:paraId="6681DC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本文档为平台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华润保险模块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的需求说明：围绕 3 张固定报表，定义页面框架、指标清单、层级与标签、展示与取值规则，作为开发实现与业务核对的依据。文档中指标名称、单位、层级与列结构均与指标体系梳理结果一致。</w:t>
      </w:r>
    </w:p>
    <w:p w14:paraId="6EF6B8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2" w:name="_Toc20782"/>
      <w:r>
        <w:rPr>
          <w:shd w:val="clear" w:fill="FFFFFF"/>
        </w:rPr>
        <w:t>2、术语与定义</w:t>
      </w:r>
      <w:bookmarkEnd w:id="2"/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99"/>
        <w:gridCol w:w="6897"/>
      </w:tblGrid>
      <w:tr w14:paraId="524B8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29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C4206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术语/列名</w:t>
            </w:r>
          </w:p>
        </w:tc>
        <w:tc>
          <w:tcPr>
            <w:tcW w:w="37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288EF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口径说明</w:t>
            </w:r>
          </w:p>
        </w:tc>
      </w:tr>
      <w:tr w14:paraId="3F542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FF21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当月值-实际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B8B7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当月单月发生数（流量指标）；比率类指标（ROE、华润燃气存量用户保费占比）不适用时置 --</w:t>
            </w:r>
          </w:p>
        </w:tc>
      </w:tr>
      <w:tr w14:paraId="6011B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4666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当月值-环比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F137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当月较上月变动幅度（%）；比率类为百分点差（ppt）；指标当月值不适用时置 --</w:t>
            </w:r>
          </w:p>
        </w:tc>
      </w:tr>
      <w:tr w14:paraId="1EA0F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0DC2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截止本月末-实际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94B2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本年累计发生数（流量），以各指标口径为准</w:t>
            </w:r>
          </w:p>
        </w:tc>
      </w:tr>
      <w:tr w14:paraId="1DB96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7B99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同比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024F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较上年同期变动幅度（%）；比率类指标为百分点差（ppt）</w:t>
            </w:r>
          </w:p>
        </w:tc>
      </w:tr>
      <w:tr w14:paraId="4EC2D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3AD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全年预算 / 预算达成率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EC9E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全年预算来源于业务在通用报送平台的维护数据；达成率 =（截止本月末实际 ÷ 全年预算）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×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100%（含进度条分色：≥95% 绿、85~95 黄、&lt;85% 红）；详见 2.1.1.8</w:t>
            </w:r>
          </w:p>
        </w:tc>
      </w:tr>
      <w:tr w14:paraId="60069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0D61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考核指标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209F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纳入绩效考核的指标，蓝色标签；唯一有权显示预算/达成率的行</w:t>
            </w:r>
          </w:p>
        </w:tc>
      </w:tr>
      <w:tr w14:paraId="6A759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E558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高质量指标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602C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高质量发展监测指标，绿色标签；可与考核指标双标签并存</w:t>
            </w:r>
          </w:p>
        </w:tc>
      </w:tr>
      <w:tr w14:paraId="109A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6D20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ppt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498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percentage point，百分点：两个百分比数值的算术差（如 12.50%→11.70% 为 +0.8ppt）</w:t>
            </w:r>
          </w:p>
        </w:tc>
      </w:tr>
      <w:tr w14:paraId="419A7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8731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N/A 与 --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B822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N/A=所选期间无历史数据（灰）；--=该指标此列不适用/无值（灰色加粗）</w:t>
            </w:r>
          </w:p>
        </w:tc>
      </w:tr>
    </w:tbl>
    <w:p w14:paraId="542CCE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3" w:name="_Toc32712"/>
      <w:r>
        <w:rPr>
          <w:shd w:val="clear" w:fill="FFFFFF"/>
        </w:rPr>
        <w:t>3、需求范围</w:t>
      </w:r>
      <w:bookmarkEnd w:id="3"/>
    </w:p>
    <w:p w14:paraId="2F40498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入口路径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：平台顶部导航「数据应用」→ 左侧菜单「固定报表管理 → 华润保险」→ 点击报表名称进入对应页面；报表台账入口为「报表台账管理 → 华润保险」。</w:t>
      </w:r>
    </w:p>
    <w:p w14:paraId="46C7478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范围内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</w:p>
    <w:p w14:paraId="65ABCF5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①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固定报表需求说明（2.1）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：华润保险 3 张固定报表的通用展示需求（2.1.1）与分报表差异化需求（2.1.2），含页面框架、数据日期与期间查询、指标概览卡片、明细表结构与取值口径、预算一致性与单元格合并规则；</w:t>
      </w:r>
    </w:p>
    <w:p w14:paraId="380E05FD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②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报表台账管理需求说明（2.2）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：平台「报表台账管理」菜单下华润保险 3 张报表台账的页面结构、取数与展示规则。</w:t>
      </w:r>
    </w:p>
    <w:p w14:paraId="5759B2B6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范围外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：数据接口与 ETL 实现、通用报送平台的预算维护功能、平台权限体系实现（权限需求见第三章）。</w:t>
      </w:r>
    </w:p>
    <w:p w14:paraId="7FE9A15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报表清单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（共 3 张）：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32"/>
        <w:gridCol w:w="993"/>
        <w:gridCol w:w="993"/>
        <w:gridCol w:w="993"/>
        <w:gridCol w:w="1355"/>
        <w:gridCol w:w="1174"/>
        <w:gridCol w:w="993"/>
        <w:gridCol w:w="1174"/>
        <w:gridCol w:w="1535"/>
      </w:tblGrid>
      <w:tr w14:paraId="0416D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85AEDD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721C44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报表名称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B2FD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更新频率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B6233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指标行数</w:t>
            </w:r>
          </w:p>
        </w:tc>
        <w:tc>
          <w:tcPr>
            <w:tcW w:w="6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8A3CE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指标概览卡片</w:t>
            </w:r>
          </w:p>
        </w:tc>
        <w:tc>
          <w:tcPr>
            <w:tcW w:w="59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C6176A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当月值列组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EEDEE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较年初列</w:t>
            </w:r>
          </w:p>
        </w:tc>
        <w:tc>
          <w:tcPr>
            <w:tcW w:w="59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9EC757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全年预算列</w:t>
            </w:r>
          </w:p>
        </w:tc>
        <w:tc>
          <w:tcPr>
            <w:tcW w:w="7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4B784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指标属性标签列</w:t>
            </w:r>
          </w:p>
        </w:tc>
      </w:tr>
      <w:tr w14:paraId="2E604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2F30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20F5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01-财务指标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5360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260DA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1C041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27451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A6A99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BDDCF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66725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7F62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439AF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75A7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02-业务指标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ACDDD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64CA9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46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4F22C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28A23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466F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B0C1A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2165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086C5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4BC2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705A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03-关键管理指标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63B37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A2CE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BB1EB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2FC45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9B2E2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41DD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B26C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</w:tbl>
    <w:p w14:paraId="5D7A9601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注：华润保险 3 张表均无「较年初」列（2026-09-15 按要求删除，表头与全部明细行同步移除）；3 张表表头统一两级结构——「当月值」分组（实际/环比）、「截止本月末」分组（实际/同比）。</w:t>
      </w:r>
    </w:p>
    <w:p w14:paraId="6C624C0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4" w:name="_Toc17465"/>
      <w:r>
        <w:rPr>
          <w:shd w:val="clear" w:fill="FFFFFF"/>
        </w:rPr>
        <w:t>二、功能需求</w:t>
      </w:r>
      <w:bookmarkEnd w:id="4"/>
    </w:p>
    <w:p w14:paraId="20EBB1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5" w:name="_Toc30297"/>
      <w:r>
        <w:rPr>
          <w:shd w:val="clear" w:fill="FFFFFF"/>
        </w:rPr>
        <w:t>2.1　固定报表需求说明</w:t>
      </w:r>
      <w:bookmarkEnd w:id="5"/>
    </w:p>
    <w:p w14:paraId="18FA96CD">
      <w:pPr>
        <w:pStyle w:val="45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本节约定华润保险 3 张固定报表的通用展示与取值规则（2.1.1），以及每张报表的差异化需求（2.1.2）；报表台账管理需求见 2.2。</w:t>
      </w:r>
    </w:p>
    <w:p w14:paraId="676CB6E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　通用需求（3 张报表共用）</w:t>
      </w:r>
    </w:p>
    <w:p w14:paraId="5D58E60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2.1.1.1　页面框架</w:t>
      </w:r>
    </w:p>
    <w:p w14:paraId="354E206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每张报表页面自上而下由三部分组成：</w:t>
      </w:r>
    </w:p>
    <w:p w14:paraId="4B064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面板头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：左侧页面标题；右侧依次为「更新频率」块（月度/季度）、「📅 数据日期」年+月双下拉、「导出」按钮。</w:t>
      </w:r>
    </w:p>
    <w:p w14:paraId="1F2E4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指标概览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：折叠条（「指标概览 · 4 项核心 KPI」，默认展开，可点击收起）+ 4 张 KPI 卡片（淡蓝/淡金/淡绿/淡粉四色轮排）；卡片含 指标名、数值+单位、同比行、较年初行（部分报表不显示较年初，见各章）。</w:t>
      </w:r>
    </w:p>
    <w:p w14:paraId="576B21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明细表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：白底卡片内两级表头 + 全量指标行；表头吸顶、超高滚动。</w:t>
      </w:r>
    </w:p>
    <w:p w14:paraId="6BD47FF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2.1.1.2　数据日期与期间查询</w:t>
      </w:r>
    </w:p>
    <w:p w14:paraId="2A51C0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  <w:t xml:space="preserve">可选范围 </w:t>
      </w:r>
      <w:r>
        <w:rPr>
          <w:rStyle w:val="254"/>
          <w:rFonts w:hint="eastAsia" w:ascii="宋体" w:hAnsi="宋体" w:eastAsia="宋体" w:cs="宋体"/>
          <w:b/>
          <w:bCs/>
          <w:sz w:val="24"/>
          <w:szCs w:val="24"/>
        </w:rPr>
        <w:t>202</w:t>
      </w:r>
      <w:r>
        <w:rPr>
          <w:rStyle w:val="25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Style w:val="254"/>
          <w:rFonts w:hint="eastAsia" w:ascii="宋体" w:hAnsi="宋体" w:eastAsia="宋体" w:cs="宋体"/>
          <w:b/>
          <w:bCs/>
          <w:sz w:val="24"/>
          <w:szCs w:val="24"/>
        </w:rPr>
        <w:t xml:space="preserve"> ～ 当前年度</w:t>
      </w:r>
      <w:r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  <w:t>，默认选中当前年度。</w:t>
      </w:r>
    </w:p>
    <w:p w14:paraId="38A3A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  <w:t>可选范围为所选年份的</w:t>
      </w:r>
      <w:r>
        <w:rPr>
          <w:rStyle w:val="254"/>
          <w:rFonts w:hint="eastAsia" w:ascii="宋体" w:hAnsi="宋体" w:eastAsia="宋体" w:cs="宋体"/>
          <w:b/>
          <w:bCs/>
          <w:sz w:val="24"/>
          <w:szCs w:val="24"/>
        </w:rPr>
        <w:t xml:space="preserve"> 1~12 </w:t>
      </w:r>
      <w:r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  <w:t>月，默认选中日历</w:t>
      </w:r>
      <w:r>
        <w:rPr>
          <w:rStyle w:val="254"/>
          <w:rFonts w:hint="eastAsia" w:ascii="宋体" w:hAnsi="宋体" w:eastAsia="宋体" w:cs="宋体"/>
          <w:b/>
          <w:bCs/>
          <w:sz w:val="24"/>
          <w:szCs w:val="24"/>
        </w:rPr>
        <w:t>上月（有数据）</w:t>
      </w:r>
      <w:r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  <w:t>；</w:t>
      </w:r>
      <w:r>
        <w:rPr>
          <w:rStyle w:val="254"/>
          <w:rFonts w:hint="eastAsia" w:ascii="宋体" w:hAnsi="宋体" w:eastAsia="宋体" w:cs="宋体"/>
          <w:b/>
          <w:bCs/>
          <w:sz w:val="24"/>
          <w:szCs w:val="24"/>
        </w:rPr>
        <w:t>若当前为 1 月</w:t>
      </w:r>
      <w:r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  <w:t>，则</w:t>
      </w:r>
      <w:r>
        <w:rPr>
          <w:rStyle w:val="254"/>
          <w:rFonts w:hint="eastAsia" w:ascii="宋体" w:hAnsi="宋体" w:eastAsia="宋体" w:cs="宋体"/>
          <w:b/>
          <w:bCs/>
          <w:sz w:val="24"/>
          <w:szCs w:val="24"/>
        </w:rPr>
        <w:t>默认选中上一年 12 月</w:t>
      </w:r>
      <w:r>
        <w:rPr>
          <w:rStyle w:val="254"/>
          <w:rFonts w:hint="eastAsia" w:ascii="宋体" w:hAnsi="宋体" w:eastAsia="宋体" w:cs="宋体"/>
          <w:b w:val="0"/>
          <w:bCs w:val="0"/>
          <w:sz w:val="24"/>
          <w:szCs w:val="24"/>
        </w:rPr>
        <w:t>（年份随之联动为上一年）。</w:t>
      </w:r>
    </w:p>
    <w:p w14:paraId="027F1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切换年/月后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自动查询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并重渲染页面，右上角 toast 提示「已加载 XXXX 年 X 月 数据 · 报表名」。</w:t>
      </w:r>
    </w:p>
    <w:p w14:paraId="75AB8F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查询加载后无数据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：保留 KPI 卡片、表头、指标行结构，数值显示灰色 </w:t>
      </w:r>
      <w:r>
        <w:rPr>
          <w:rStyle w:val="19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，toast 提示「无历史数据，仅显示报表结构」。</w:t>
      </w:r>
    </w:p>
    <w:p w14:paraId="33ACD58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shd w:val="clear" w:fill="FFFFFF"/>
        </w:rPr>
      </w:pPr>
      <w:r>
        <w:rPr>
          <w:shd w:val="clear" w:fill="FFFFFF"/>
        </w:rPr>
        <w:t>2.1.1.3　指标名称层级样式</w:t>
      </w:r>
    </w:p>
    <w:p w14:paraId="09E521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一级（lv0）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：加粗、深蓝色、左对齐顶格。</w:t>
      </w:r>
    </w:p>
    <w:p w14:paraId="393588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二级（lv1）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：黑体（SimHei）、正常字重、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  <w:t>右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对齐。</w:t>
      </w:r>
    </w:p>
    <w:p w14:paraId="33CAB3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三级（lv2）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：浅灰色、右对齐。</w:t>
      </w:r>
    </w:p>
    <w:p w14:paraId="5391CE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2.1.1.4　指标属性标签列（含该列的报表）</w:t>
      </w:r>
    </w:p>
    <w:p w14:paraId="2C542B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蓝色标签「考核指标」；绿色标签「高质量指标」。</w:t>
      </w:r>
    </w:p>
    <w:p w14:paraId="394C0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无标签 → 灰色占位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EEAF1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/>
          <w:b/>
          <w:bCs/>
          <w:color w:val="021CBC"/>
          <w:lang w:val="en-US" w:eastAsia="zh-CN"/>
        </w:rPr>
        <w:t>指标属性标签取值逻辑</w:t>
      </w:r>
      <w:r>
        <w:rPr>
          <w:rFonts w:hint="eastAsia"/>
          <w:lang w:val="en-US" w:eastAsia="zh-CN"/>
        </w:rPr>
        <w:t>：根据指标编号从指标台账中获取；</w:t>
      </w:r>
    </w:p>
    <w:p w14:paraId="452D670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2.1.1.5　数值与涨跌显示规范</w:t>
      </w:r>
    </w:p>
    <w:p w14:paraId="3AB708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数值列：数值展示采用千分位格式，保留 2 位小数。</w:t>
      </w:r>
    </w:p>
    <w:p w14:paraId="6BCDC7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涨跌规范：正增长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红色 ▲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、负增长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绿色 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、零值灰色无箭头（金融业惯例：红涨绿跌）。</w:t>
      </w:r>
    </w:p>
    <w:p w14:paraId="7B05E6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同比/环比/较年初：列表头不带 (%) 后缀，单位随数值单元格自带（% 或 ppt），保留 2 位小数。</w:t>
      </w:r>
    </w:p>
    <w:p w14:paraId="1F8501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占位符统一：数据级占位 - → 灰色加粗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；取不到数据 → 灰色 </w:t>
      </w:r>
      <w:r>
        <w:rPr>
          <w:rStyle w:val="19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3C102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比率类指标（单位 %）的变动值用 ppt（百分点），金额/数量类用 %。</w:t>
      </w:r>
    </w:p>
    <w:p w14:paraId="4B5F849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2.1.1.6　指标取值说明（当月值、截止本月末）</w:t>
      </w:r>
    </w:p>
    <w:p w14:paraId="739034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当月值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，同指标分组编码下，取时间维度为【本月数】。</w:t>
      </w:r>
    </w:p>
    <w:p w14:paraId="54D80A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" w:lineRule="atLeast"/>
        <w:ind w:left="425" w:leftChars="0" w:right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取时间维度为【本月末】。</w:t>
      </w:r>
    </w:p>
    <w:p w14:paraId="19A99D4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b/>
          <w:bCs/>
          <w:color w:val="021CBC"/>
          <w:kern w:val="0"/>
          <w:sz w:val="24"/>
          <w:szCs w:val="24"/>
          <w:lang w:val="en-US" w:eastAsia="zh-CN" w:bidi="ar"/>
        </w:rPr>
        <w:t>特别说明（开发人员）</w:t>
      </w:r>
      <w:r>
        <w:rPr>
          <w:rFonts w:ascii="宋体" w:hAnsi="宋体" w:eastAsia="宋体" w:cs="宋体"/>
          <w:color w:val="021CBC"/>
          <w:kern w:val="0"/>
          <w:sz w:val="24"/>
          <w:szCs w:val="24"/>
          <w:lang w:val="en-US" w:eastAsia="zh-CN" w:bidi="ar"/>
        </w:rPr>
        <w:t>：报表页面前端不展示指标标准编号、指标分组编号，底层表必须包含该两个字段，编号需与指标标准台账保持一致，否则无法实现指标落标。</w:t>
      </w:r>
    </w:p>
    <w:p w14:paraId="0C417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3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2F9B38E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2.1.1.7　指标计算公式说明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53"/>
        <w:gridCol w:w="1491"/>
        <w:gridCol w:w="1154"/>
        <w:gridCol w:w="1594"/>
        <w:gridCol w:w="770"/>
        <w:gridCol w:w="1799"/>
        <w:gridCol w:w="1535"/>
      </w:tblGrid>
      <w:tr w14:paraId="4BE49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31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BBFBB0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时间类型</w:t>
            </w:r>
          </w:p>
        </w:tc>
        <w:tc>
          <w:tcPr>
            <w:tcW w:w="1478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A9C4F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当月值</w:t>
            </w:r>
          </w:p>
        </w:tc>
        <w:tc>
          <w:tcPr>
            <w:tcW w:w="2206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864C8E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截止本月末</w:t>
            </w:r>
          </w:p>
        </w:tc>
      </w:tr>
      <w:tr w14:paraId="1F609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51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2E638D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时间类型</w:t>
            </w:r>
          </w:p>
        </w:tc>
        <w:tc>
          <w:tcPr>
            <w:tcW w:w="8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A30A44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举例</w:t>
            </w:r>
          </w:p>
        </w:tc>
        <w:tc>
          <w:tcPr>
            <w:tcW w:w="6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CA238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实际</w:t>
            </w:r>
          </w:p>
        </w:tc>
        <w:tc>
          <w:tcPr>
            <w:tcW w:w="8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60934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  <w:tc>
          <w:tcPr>
            <w:tcW w:w="41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784F5C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实际</w:t>
            </w:r>
          </w:p>
        </w:tc>
        <w:tc>
          <w:tcPr>
            <w:tcW w:w="9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6E0287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  <w:tc>
          <w:tcPr>
            <w:tcW w:w="8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B1753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7"/>
                <w:szCs w:val="17"/>
                <w14:textFill>
                  <w14:solidFill>
                    <w14:schemeClr w14:val="tx1"/>
                  </w14:solidFill>
                </w14:textFill>
              </w:rPr>
              <w:t>较年初</w:t>
            </w:r>
          </w:p>
        </w:tc>
      </w:tr>
      <w:tr w14:paraId="3507B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545A9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9778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（保费、收入、利润）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FB1F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截止本月累计-截止上月累计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6D85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(本月当月值-上月当月值)/上月当月值【%】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F638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本年累计数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3118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(本年累计-去年同月累计)/去年同月累计【%】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695E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59EAB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06F6C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2CCC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（余额、规模）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BFC1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EFD1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D240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本月末余额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3842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(本月末余额-去年同月末余额)/去年同月末余额【%】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7E09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(本月末余额-年初余额)/年初余额【%】</w:t>
            </w:r>
          </w:p>
        </w:tc>
      </w:tr>
      <w:tr w14:paraId="0531B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E05BE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E3A0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（ROE、新增不良率）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2099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B8C9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5E53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053A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12A7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6D275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4EFD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3839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（不良率、占比、覆盖率）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E7FB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53CA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4B04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7AA5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E66D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本期比率-年初比率【百分点】</w:t>
            </w:r>
          </w:p>
        </w:tc>
      </w:tr>
    </w:tbl>
    <w:p w14:paraId="62867A4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2.1.1.8　预算一致性规则</w:t>
      </w:r>
    </w:p>
    <w:p w14:paraId="5E5F32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业务在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通用报送平台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维护了全年预算的指标，则显示「全年预算」「预算达成率」值；否则两列一律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371D7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21CBC"/>
          <w:sz w:val="24"/>
          <w:szCs w:val="24"/>
          <w:shd w:val="clear" w:fill="FFFFFF"/>
        </w:rPr>
        <w:t>预算达成率 = （截止本月末实际值 ÷ 全年预算）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×</w:t>
      </w:r>
      <w:r>
        <w:rPr>
          <w:rFonts w:hint="eastAsia" w:ascii="宋体" w:hAnsi="宋体" w:eastAsia="宋体" w:cs="宋体"/>
          <w:b/>
          <w:bCs/>
          <w:color w:val="021CBC"/>
          <w:sz w:val="24"/>
          <w:szCs w:val="24"/>
          <w:shd w:val="clear" w:fill="FFFFFF"/>
        </w:rPr>
        <w:t xml:space="preserve"> 100%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，单元格内含进度条：≥95% 绿色、85%~95% 黄色、&lt;85% 红色。</w:t>
      </w:r>
    </w:p>
    <w:p w14:paraId="38D2BDF5">
      <w:pPr>
        <w:keepNext w:val="0"/>
        <w:keepLines w:val="0"/>
        <w:widowControl/>
        <w:suppressLineNumbers w:val="0"/>
        <w:jc w:val="left"/>
        <w:rPr>
          <w:color w:val="021CBC"/>
        </w:rPr>
      </w:pPr>
      <w:r>
        <w:rPr>
          <w:rStyle w:val="16"/>
          <w:rFonts w:ascii="宋体" w:hAnsi="宋体" w:eastAsia="宋体" w:cs="宋体"/>
          <w:color w:val="021CBC"/>
          <w:kern w:val="0"/>
          <w:sz w:val="24"/>
          <w:szCs w:val="24"/>
          <w:lang w:val="en-US" w:eastAsia="zh-CN" w:bidi="ar"/>
        </w:rPr>
        <w:t>特别说明</w:t>
      </w:r>
      <w:r>
        <w:rPr>
          <w:rStyle w:val="16"/>
          <w:rFonts w:hint="eastAsia" w:ascii="宋体" w:hAnsi="宋体" w:eastAsia="宋体" w:cs="宋体"/>
          <w:color w:val="021CBC"/>
          <w:kern w:val="0"/>
          <w:sz w:val="24"/>
          <w:szCs w:val="24"/>
          <w:lang w:val="en-US" w:eastAsia="zh-CN" w:bidi="ar"/>
        </w:rPr>
        <w:t>：</w:t>
      </w:r>
    </w:p>
    <w:p w14:paraId="7AFFF1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425" w:leftChars="0" w:hanging="425" w:firstLineChars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以下指标的预算达成率计算公式为 </w:t>
      </w:r>
      <w:r>
        <w:rPr>
          <w:rStyle w:val="16"/>
          <w:b/>
          <w:bCs/>
          <w:color w:val="000000" w:themeColor="text1"/>
        </w:rPr>
        <w:t>（</w:t>
      </w:r>
      <w:r>
        <w:rPr>
          <w:rStyle w:val="16"/>
          <w:b/>
          <w:bCs/>
          <w:color w:val="021CBC"/>
        </w:rPr>
        <w:t xml:space="preserve">截止本月末实际值 − 上一年度年末实际值）÷ 全年预算值 </w:t>
      </w:r>
      <w:r>
        <w:rPr>
          <w:rStyle w:val="16"/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×</w:t>
      </w:r>
      <w:r>
        <w:rPr>
          <w:rStyle w:val="16"/>
          <w:b/>
          <w:bCs/>
          <w:color w:val="021CBC"/>
        </w:rPr>
        <w:t xml:space="preserve"> 100%</w:t>
      </w:r>
      <w:r>
        <w:rPr>
          <w:b w:val="0"/>
          <w:bCs w:val="0"/>
          <w:color w:val="000000" w:themeColor="text1"/>
        </w:rPr>
        <w:t>（</w:t>
      </w:r>
      <w:r>
        <w:rPr>
          <w:rStyle w:val="16"/>
          <w:b w:val="0"/>
          <w:bCs w:val="0"/>
          <w:color w:val="000000" w:themeColor="text1"/>
        </w:rPr>
        <w:t>净增量口径</w:t>
      </w:r>
      <w:r>
        <w:rPr>
          <w:b w:val="0"/>
          <w:bCs w:val="0"/>
          <w:color w:val="000000" w:themeColor="text1"/>
        </w:rPr>
        <w:t>）：</w:t>
      </w:r>
    </w:p>
    <w:p w14:paraId="6D4E34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425" w:leftChars="0" w:hanging="425" w:firstLineChars="0"/>
      </w:pPr>
      <w:r>
        <w:rPr>
          <w:rStyle w:val="16"/>
          <w:b/>
          <w:bCs/>
          <w:color w:val="021CBC"/>
        </w:rPr>
        <w:t>全年预算值</w:t>
      </w:r>
      <w:r>
        <w:rPr>
          <w:b/>
          <w:bCs/>
          <w:color w:val="021CBC"/>
        </w:rPr>
        <w:t>为</w:t>
      </w:r>
      <w:r>
        <w:rPr>
          <w:rStyle w:val="16"/>
          <w:b/>
          <w:bCs/>
          <w:color w:val="021CBC"/>
        </w:rPr>
        <w:t>年度维度数据</w:t>
      </w:r>
      <w:r>
        <w:rPr>
          <w:b w:val="0"/>
          <w:bCs w:val="0"/>
          <w:color w:val="000000" w:themeColor="text1"/>
        </w:rPr>
        <w:t>：获取全年预算值时，依据指标标准编号 + 对应年度 作为</w:t>
      </w:r>
      <w:r>
        <w:rPr>
          <w:rStyle w:val="16"/>
          <w:b w:val="0"/>
          <w:bCs w:val="0"/>
          <w:color w:val="000000" w:themeColor="text1"/>
        </w:rPr>
        <w:t>联合主键</w:t>
      </w:r>
      <w:r>
        <w:rPr>
          <w:b w:val="0"/>
          <w:bCs w:val="0"/>
          <w:color w:val="000000" w:themeColor="text1"/>
        </w:rPr>
        <w:t>，读取该指标的全年预算值。</w:t>
      </w:r>
    </w:p>
    <w:p w14:paraId="146791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2.1.1.9　单元格合并</w:t>
      </w:r>
    </w:p>
    <w:p w14:paraId="126F316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「指标分类」「指标分项」列，单元格按相同分类规则纵向合并，合并区间见各报表原型样式；</w:t>
      </w:r>
    </w:p>
    <w:p w14:paraId="343EB6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　分报表需求</w:t>
      </w:r>
    </w:p>
    <w:p w14:paraId="46A0C3A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2.1.2.1　01-财务指标　</w:t>
      </w:r>
      <w:r>
        <w:rPr>
          <w:rStyle w:val="253"/>
          <w:b w:val="0"/>
          <w:bCs w:val="0"/>
          <w:shd w:val="clear" w:fill="FFFFFF"/>
        </w:rPr>
        <w:t>4 项指标</w:t>
      </w:r>
    </w:p>
    <w:p w14:paraId="2AAEF43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BB9E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6A1F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30D4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01-财务指标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C52395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C3A4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财务指标</w:t>
            </w:r>
          </w:p>
        </w:tc>
      </w:tr>
      <w:tr w14:paraId="3E113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6029A8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05BD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1BC06D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8AED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行</w:t>
            </w:r>
          </w:p>
        </w:tc>
      </w:tr>
      <w:tr w14:paraId="1DEC2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DE22DA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9157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A19C7A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00F0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10 列（含指标名称等结构列）</w:t>
            </w:r>
          </w:p>
        </w:tc>
      </w:tr>
      <w:tr w14:paraId="1FE9D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29AE4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7280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2023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D79129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7E1F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187146B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3F3A2BB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本报表未配置核心 KPI，页面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不渲染指标概览模块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（无折叠条与 KPI 卡片），面板头下直接为明细表。</w:t>
      </w:r>
    </w:p>
    <w:p w14:paraId="1CCEE03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8467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5B2051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「华润保险-报表名称-数据期间.xlsx」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；月度报表数据期间为「年-月」（如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华润保险-01-财务指标-2026-08.xlsx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41DB23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36A39FC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  <w:color w:val="FF0000"/>
          <w:sz w:val="24"/>
          <w:szCs w:val="24"/>
          <w:shd w:val="clear" w:fill="FFFFFF"/>
          <w:lang w:eastAsia="zh-CN"/>
        </w:rPr>
        <w:t>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57"/>
        <w:gridCol w:w="1003"/>
        <w:gridCol w:w="557"/>
        <w:gridCol w:w="1452"/>
        <w:gridCol w:w="557"/>
        <w:gridCol w:w="558"/>
        <w:gridCol w:w="613"/>
        <w:gridCol w:w="615"/>
        <w:gridCol w:w="1003"/>
        <w:gridCol w:w="1228"/>
        <w:gridCol w:w="1003"/>
      </w:tblGrid>
      <w:tr w14:paraId="5D012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2846B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4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D7A558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3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6D026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7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D7BB7D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609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F81C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671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D8FB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4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82951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67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A9D1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54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B63B26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9933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A14D3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6F042A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C42FAD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7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C35F21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05238C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EB04E4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E2F4CF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2CAA5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54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AF8ED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7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0C404F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D1B072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09C3E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EBD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EFA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营业收入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C620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7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6E2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C42E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5F80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F265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5C295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B62DE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6FB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626E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37EF5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DBBB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8E41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利润总额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B51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7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DD87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547B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F61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EF2C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3973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306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5FF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3A0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2CE68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9C3C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784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ROE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2120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7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EAE7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2414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21C2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E9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8EF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B465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1ED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DBCB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D9B5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777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F6FD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EVA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0F2A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7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2613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5CD7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4083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EE05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E6EB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ED6A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13C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4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D08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</w:tbl>
    <w:p w14:paraId="077F940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311F76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以下截图取自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当前系统页面实机界面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（演示数据；下拉、按钮等控件为页面原样，Word 内不可交互）。</w:t>
      </w:r>
    </w:p>
    <w:p w14:paraId="4A89D998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"D:\\work-2026\\AI-test\\华润-战略部数据应用-LAB\\shots_ins\\ins_fix01.png"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5" o:spt="75" alt="D:\work-2026\AI-test\华润-战略部数据应用-LAB\shots_ins\ins_fix01.png" type="#_x0000_t75" style="height:291.75pt;width:440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4D7CFE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2.1.2.2　02-业务指标　</w:t>
      </w:r>
      <w:r>
        <w:rPr>
          <w:rStyle w:val="253"/>
          <w:b w:val="0"/>
          <w:bCs w:val="0"/>
          <w:shd w:val="clear" w:fill="FFFFFF"/>
        </w:rPr>
        <w:t>46 项指标</w:t>
      </w:r>
    </w:p>
    <w:p w14:paraId="7D6D74B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938D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28E29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0DE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02-业务指标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80C9C9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DF46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业务指标</w:t>
            </w:r>
          </w:p>
        </w:tc>
      </w:tr>
      <w:tr w14:paraId="28386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FB810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59DB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F90F6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3BE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46 行</w:t>
            </w:r>
          </w:p>
        </w:tc>
      </w:tr>
      <w:tr w14:paraId="5FC74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B63C6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739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0D872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CE1D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2EC82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9A352A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7C1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2023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FCF20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54AE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470BE4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339E319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指标概览卡片（淡蓝/淡金/淡绿/淡粉四色轮排），各卡片的指标与展示内容如下：</w:t>
      </w:r>
    </w:p>
    <w:p w14:paraId="511612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卡片1·保费规模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；本报表卡片不显示「较年初」行。</w:t>
      </w:r>
    </w:p>
    <w:p w14:paraId="0C3ACC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卡片2·产融业务保费规模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；本报表卡片不显示「较年初」行。</w:t>
      </w:r>
    </w:p>
    <w:p w14:paraId="5714D2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卡片3·佣金收入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；本报表卡片不显示「较年初」行。</w:t>
      </w:r>
    </w:p>
    <w:p w14:paraId="16B799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卡片4·香港业务佣金收入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；本报表卡片不显示「较年初」行。</w:t>
      </w:r>
    </w:p>
    <w:p w14:paraId="6CF22DA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1A43BB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1FA558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「华润保险-报表名称-数据期间.xlsx」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；月度报表数据期间为「年-月」（如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华润保险-02-业务指标-2026-08.xlsx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61EB38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FD3C44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  <w:color w:val="FF0000"/>
          <w:sz w:val="24"/>
          <w:szCs w:val="24"/>
          <w:shd w:val="clear" w:fill="FFFFFF"/>
          <w:lang w:eastAsia="zh-CN"/>
        </w:rPr>
        <w:t>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标记；空白单元格表示该指标在对应列有数值；</w:t>
      </w:r>
    </w:p>
    <w:p w14:paraId="2410E00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指标分类筛选条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：表头上方设「</w:t>
      </w: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shd w:val="clear" w:fill="FFFFFF"/>
          <w14:textFill>
            <w14:solidFill>
              <w14:schemeClr w14:val="accent1"/>
            </w14:solidFill>
          </w14:textFill>
        </w:rPr>
        <w:t>指标分类：全部 / 保费规模 / 佣金收入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」筛选按钮组，点击按分类过滤明细行（序号 </w:t>
      </w:r>
      <w:bookmarkStart w:id="9" w:name="_GoBack"/>
      <w:bookmarkEnd w:id="9"/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1~23=保费规模、24~46=佣金收入）；筛选状态在期间查询重渲染后保持。</w:t>
      </w:r>
    </w:p>
    <w:tbl>
      <w:tblPr>
        <w:tblStyle w:val="14"/>
        <w:tblW w:w="5136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1"/>
        <w:gridCol w:w="636"/>
        <w:gridCol w:w="1142"/>
        <w:gridCol w:w="1868"/>
        <w:gridCol w:w="431"/>
        <w:gridCol w:w="841"/>
        <w:gridCol w:w="431"/>
        <w:gridCol w:w="436"/>
        <w:gridCol w:w="459"/>
        <w:gridCol w:w="461"/>
        <w:gridCol w:w="636"/>
        <w:gridCol w:w="737"/>
        <w:gridCol w:w="886"/>
      </w:tblGrid>
      <w:tr w14:paraId="6BD9E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2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80BEF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68601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8BCC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9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C34301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2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FC4EC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4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516B3B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461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3C1A5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489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926E8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58358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9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A59860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7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7D0AF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09535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2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2379E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E10D2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16F989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7BDDBD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2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56A19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97FF1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05E1A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66C0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2A6F4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B9CDE9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BFD59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9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F4EA67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7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BC3A0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78B51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AB3C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755D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保费规模</w:t>
            </w: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4856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4E22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188E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E5C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372E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C57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D59A2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9820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DB6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06B9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A164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1B940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75C5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5DD1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E2EF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机构业务总保费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4620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2F2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507F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1D45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9F55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FAA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CC7E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7713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42F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585E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2517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3092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259B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6A10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机构业务保费明细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048B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财险保费规模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28C8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CE30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B4D0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82D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B257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06E6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608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051A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F9F5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1710D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E69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6909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1CC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B11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团险保费规模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3119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89A3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536C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8F8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D8AF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0E71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B664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B6DD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8C26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63580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5772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F7EB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9094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产融业务总保费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AE7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A0D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BA19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891C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4B3E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45AB2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7E45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F95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D715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01F2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4295B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9C78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F182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CCE5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产融业务保费明细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D47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燃气业务保费规模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7C16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FA07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CE79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32C6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50B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071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D265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39B6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DA3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2AE6E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C290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7CA2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5275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燃气业务保费明细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40E1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其中：华润燃气业务保费规模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B42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C582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CBD8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E354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C4A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94B6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0D84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E03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EB4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9B1D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7442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D4AA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3156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8EE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其中：市场燃气业务保费规模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CDED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A099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CF0D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0D4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1D63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82BB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F72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573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3B7B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59721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2D02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AF3F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908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产融业务保费明细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F264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商户保险保费规模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E55F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B156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92B6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1D8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EF0E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7B49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074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9097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299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ADF7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E084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A144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3D2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677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银保保费规模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CF9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0676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E4FA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0F96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E6CA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C4E9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8E7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297A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18DD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400E3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40BE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5E4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176B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D654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产融创新场景保费规模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409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19C8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2EA5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DAC8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546A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7B14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DB1B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BAE7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9A08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2E031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1F3A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A1AD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0DFC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4A3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其中：社区保险保费规模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64C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96001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E63E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75E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74A8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0735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C79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557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D881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47FCB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4DCB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EF22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CDD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F7056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其中：其他产融创新场景保费规模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8BD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A5EA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2EA2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3D2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FDF7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91F7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C90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0806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82C2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B8E4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B880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78DE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7BB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F990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其中：职域保费规模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449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C31E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AFDF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09EF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14DC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A51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85D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E87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788B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1692E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FC65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AF95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5ED7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8A61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其中：其他融融保费规模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70EE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4525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2166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A2CA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729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B9B7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CDD7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EA97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243F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16A37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BC8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FC18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4284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香港业务总保费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3D05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6C81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5838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7ECA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545A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29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6D7F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368E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AE9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D95C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605AF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3BB2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A74B5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3A67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香港业务保费明细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9754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商水险保费规模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78BD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EED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904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4ECF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5EC2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4C1C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7209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DB40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67CB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BF81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A59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C1E5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DF2E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5A1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员福险保费规模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87F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F74C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33BD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A303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352E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7E21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3A77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722E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60F3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44B39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8003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8E384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2615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ACF7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寿险保费规模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8280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265B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9C38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83C0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B315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722C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6644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9C0A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5F10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1FADD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597F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4FF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FF44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市场化业务总保费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8F4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市场化业务保费规模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9C18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DB5F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A7365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6923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147A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78C0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D7A7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3222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0C4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38471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577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C9D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FB4C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机构市场化业务保费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FAE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机构市场化业务保费规模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BB5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2606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99E2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2CA3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48EA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A807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156D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E42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EE1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617E2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FEB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22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E1F8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96F8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产融市场化业务保费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E94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产融市场化业务保费规模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96B8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E614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64B9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6A62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61C8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C631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F721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9358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D60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5C6CC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48D9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23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E079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1B6E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香港市场化业务保费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079C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香港市场化业务保费规模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14D6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72C3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58ADC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F2CF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CAD2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1D6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1FF1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EE69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150E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E36A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834D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24</w:t>
            </w:r>
          </w:p>
        </w:tc>
        <w:tc>
          <w:tcPr>
            <w:tcW w:w="33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789D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佣金收入</w:t>
            </w: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5770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954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37B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1584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86AF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59CA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C69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2590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CD2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BAE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B82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13B43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D8F9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25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7F67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D25A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机构业务总佣金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561D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FDB0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4F58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1816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710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42B1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97C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C55F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318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0C44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CDAF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DA6E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26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7180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9A4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机构业务佣金明细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B90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财险佣金收入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AB19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2A9E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C016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7622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9118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61CC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2959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BEA7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344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3DF83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A0C8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27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32D2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E39E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42FF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团险佣金收入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677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201A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7D97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D114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794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5C1F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29C4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7B9C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DB525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5457A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BAAB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28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E977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166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产融业务总佣金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271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18F5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5606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FED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4DC8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96BD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8FD2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8716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2715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9B0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4A4CE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97A0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29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92A84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6061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产融业务佣金明细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B54E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燃气业务佣金收入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386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CAE8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0A14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690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9ED7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5CD1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6BB8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BB9C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26D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22EC2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213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30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BA965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141C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燃气业务佣金明细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81BC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其中：华润燃气业务佣金收入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E850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1752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E8F5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69D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F4E5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950F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7C1A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BB6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DAC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3C35D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56DA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31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EFC8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E549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1BA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其中：市场燃气业务佣金收入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3AE4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368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1E2E3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8DF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0A14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140C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D31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3508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ED15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064B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1FB5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32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C32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1FE3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产融业务佣金明细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201E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商户保险佣金收入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BAE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6EBA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4C6C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B01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01FA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CAE9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14F1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4997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502B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106A1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2AE1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33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5D62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89C69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FE9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银保佣金收入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73B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6EF7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307B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BB7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488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A17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A81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0BE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DBED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5A360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3C8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34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B093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0FC6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3BCE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产融创新场景佣金收入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6A0D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604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9163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83A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082A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C3B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EEBB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DC13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AD0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4B676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6045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35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A37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A8D9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3878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其中：社区保险佣金收入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90D3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C1E39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E20F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7D39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F8BA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0C63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35B8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0180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D782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3809A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2CA9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36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53C3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46F62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3AB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其中：其他产融创新场景佣金收入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DACD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AB0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FDE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60D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8C8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C883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E683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0C57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40ED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037A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A63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37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63AE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02D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0346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其中：职域佣金收入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3C7F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FEAE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8797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7CACC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B01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0842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FD1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38F4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0FD6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8E1F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5CB9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38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489A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5BD5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23552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其中：其他融融佣金收入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7E02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0381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6107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2AB1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7EC3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0DC0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C0DB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268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280A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3E9E3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D343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39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CD6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FAE3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香港业务总佣金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9D93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41D6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41B8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C339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090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1AF0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8C1A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B83E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8D02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8027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6915D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4A3F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40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65D2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01D0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香港业务佣金明细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7F5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商水险佣金收入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B1A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7732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CBE1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BBE0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331A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10D5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0E0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C80E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A8F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1B5E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8C64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41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38F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BE0E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1755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员福险佣金收入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FBD6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FB8F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22C1F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2D19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F94B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18EA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FB5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1827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A0FB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90F7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E43F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42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AEB8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330E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920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寿险佣金收入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12E8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64A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D036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B09C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9B51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C7F7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DFE9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C2FF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C8C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21C23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B6A9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43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2B2E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D3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市场化业务总佣金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538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市场化业务佣金收入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98B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A40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582C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1B86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E816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8A2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C2D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CAAF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2DC0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7FB1C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35A3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44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554C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DB1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机构市场化业务佣金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15D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机构市场化业务佣金收入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75B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F57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4524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3B44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E59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30F4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750C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8AC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80EC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3888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2E93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45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1C52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93B7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产融市场化业务佣金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AE2F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产融市场化业务佣金收入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EAF9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E20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C22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AD0F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A6EA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9894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ABCC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CE3F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1AF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6423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FC9F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46</w:t>
            </w:r>
          </w:p>
        </w:tc>
        <w:tc>
          <w:tcPr>
            <w:tcW w:w="33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FC5D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BF72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香港市场化业务佣金</w:t>
            </w:r>
          </w:p>
        </w:tc>
        <w:tc>
          <w:tcPr>
            <w:tcW w:w="9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8D6E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香港市场化业务佣金收入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E9EF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44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FC87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2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1278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41D0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DC41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D479C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BC6E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9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AFD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9B36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</w:tbl>
    <w:p w14:paraId="4CE8D6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61306D2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以下截图取自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当前系统页面实机界面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（演示数据；下拉、按钮等控件为页面原样，Word 内不可交互）。</w:t>
      </w:r>
    </w:p>
    <w:p w14:paraId="1130A672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"D:\\work-2026\\AI-test\\华润-战略部数据应用-LAB\\shots_ins\\ins_fix02.png"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6" o:spt="75" alt="D:\work-2026\AI-test\华润-战略部数据应用-LAB\shots_ins\ins_fix02.png" type="#_x0000_t75" style="height:660.75pt;width:440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1B489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2.1.2.3　03-关键管理指标　</w:t>
      </w:r>
      <w:r>
        <w:rPr>
          <w:rStyle w:val="253"/>
          <w:b w:val="0"/>
          <w:bCs w:val="0"/>
          <w:shd w:val="clear" w:fill="FFFFFF"/>
        </w:rPr>
        <w:t>6 项指标</w:t>
      </w:r>
    </w:p>
    <w:p w14:paraId="6676FE3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99EB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D04C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DFDD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03-关键管理指标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67084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22DD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关键管理指标</w:t>
            </w:r>
          </w:p>
        </w:tc>
      </w:tr>
      <w:tr w14:paraId="796BD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486F4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D7C5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41E46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D15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6 行</w:t>
            </w:r>
          </w:p>
        </w:tc>
      </w:tr>
      <w:tr w14:paraId="2A7BE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DD034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8C0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990138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3B5F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10 列（含指标名称等结构列）</w:t>
            </w:r>
          </w:p>
        </w:tc>
      </w:tr>
      <w:tr w14:paraId="4BA0A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B90F7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CD10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2023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74855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7460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0F7659D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21044F4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本报表未配置核心 KPI，页面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不渲染指标概览模块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（无折叠条与 KPI 卡片），面板头下直接为明细表。</w:t>
      </w:r>
    </w:p>
    <w:p w14:paraId="44C0FC5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6B2DC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410AAE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「华润保险-报表名称-数据期间.xlsx」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；月度报表数据期间为「年-月」（如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华润保险-03-关键管理指标-2026-08.xlsx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02EA3D6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B72E4B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  <w:color w:val="FF0000"/>
          <w:sz w:val="24"/>
          <w:szCs w:val="24"/>
          <w:shd w:val="clear" w:fill="FFFFFF"/>
          <w:lang w:eastAsia="zh-CN"/>
        </w:rPr>
        <w:t>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标记；空白单元格表示该指标在对应列有数值；</w:t>
      </w:r>
    </w:p>
    <w:tbl>
      <w:tblPr>
        <w:tblStyle w:val="14"/>
        <w:tblW w:w="512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6"/>
        <w:gridCol w:w="2493"/>
        <w:gridCol w:w="486"/>
        <w:gridCol w:w="1106"/>
        <w:gridCol w:w="486"/>
        <w:gridCol w:w="488"/>
        <w:gridCol w:w="526"/>
        <w:gridCol w:w="528"/>
        <w:gridCol w:w="796"/>
        <w:gridCol w:w="952"/>
        <w:gridCol w:w="1033"/>
      </w:tblGrid>
      <w:tr w14:paraId="2D6FF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5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0EF0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32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375D4E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5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9C4E5E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407EC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519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548FF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561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345114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137FCC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13711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550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D0C8A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5BBF3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5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B6E87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32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FB939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5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60AE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014AB8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081F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1B5E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D07DB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C6129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2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821FE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C7DE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0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90D2F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1FD6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3A1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32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0048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华润燃气存量用户保费占比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96C7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86C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0E19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81D4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5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0928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185F6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502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2F32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E2C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7030A0"/>
                <w:sz w:val="18"/>
                <w:szCs w:val="24"/>
                <w:lang w:val="en-US" w:eastAsia="zh-CN"/>
              </w:rPr>
              <w:t>时点</w:t>
            </w:r>
            <w:r>
              <w:rPr>
                <w:rFonts w:hint="eastAsia" w:ascii="宋体" w:hAnsi="宋体" w:eastAsia="宋体" w:cs="宋体"/>
                <w:color w:val="7030A0"/>
                <w:sz w:val="18"/>
                <w:szCs w:val="24"/>
              </w:rPr>
              <w:t>指标</w:t>
            </w:r>
          </w:p>
        </w:tc>
      </w:tr>
      <w:tr w14:paraId="7D89A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A197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32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2D68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集团及其他产业客户保费规模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6EB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58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5DD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599A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A332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E7B1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7746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72C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1788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D721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20491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1CB8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32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93AA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融融业务总中收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079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58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6A2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0AD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EBEFE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2058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2999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B828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4A90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39FB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89A5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6D8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32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A522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市场业务净收入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2F0B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58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4DCF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3B0D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AAF5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631B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887B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B583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159C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5D5A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0558F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A92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32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9646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产融业务规模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9F1E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万元</w:t>
            </w:r>
          </w:p>
        </w:tc>
        <w:tc>
          <w:tcPr>
            <w:tcW w:w="58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286B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CFCD4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B820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58DC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B15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2981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C958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1533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  <w:tr w14:paraId="6AF9E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2B83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32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BFF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华润燃气存量用户每年新增客户数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BBC2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58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474E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285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3AF95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D4C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13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B0D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E219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CC5A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B0F0"/>
                <w:sz w:val="18"/>
                <w:szCs w:val="24"/>
                <w:lang w:eastAsia="zh-CN"/>
              </w:rPr>
              <w:t>期间指标</w:t>
            </w:r>
          </w:p>
        </w:tc>
      </w:tr>
    </w:tbl>
    <w:p w14:paraId="1EB97A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64A66FF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以下截图取自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当前系统页面实机界面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（演示数据；下拉、按钮等控件为页面原样，Word 内不可交互）。</w:t>
      </w:r>
    </w:p>
    <w:p w14:paraId="3858000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"D:\\work-2026\\AI-test\\华润-战略部数据应用-LAB\\shots_ins\\ins_fix03.png"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7" o:spt="75" alt="D:\work-2026\AI-test\华润-战略部数据应用-LAB\shots_ins\ins_fix03.png" type="#_x0000_t75" style="height:291.75pt;width:440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8DD46C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6" w:name="_Toc20746"/>
      <w:r>
        <w:rPr>
          <w:shd w:val="clear" w:fill="FFFFFF"/>
        </w:rPr>
        <w:t>2.2　报表台账管理需求说明</w:t>
      </w:r>
      <w:bookmarkEnd w:id="6"/>
    </w:p>
    <w:p w14:paraId="5ECCE2E0">
      <w:pPr>
        <w:pStyle w:val="45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本节约定平台「报表台账管理」一级菜单下华润保险 3 张报表台账的页面结构、取数与展示规则。台账与固定报表同源取数，按年度横向展开各月末值，供业务逐年回溯核对。</w:t>
      </w:r>
    </w:p>
    <w:p w14:paraId="6CEBA2C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2.2.1　模块定位与入口</w:t>
      </w:r>
    </w:p>
    <w:p w14:paraId="6EF4D4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菜单层级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：「报表台账管理」为一级菜单，与「固定报表管理」同级；结构为 报表台账管理 → 公司分组（华润保险）→ 各报表台账，菜单名 = 报表名称 +「台账」（如「01-财务指标台账」）。</w:t>
      </w:r>
    </w:p>
    <w:p w14:paraId="6A5C55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：台账菜单采用金色主题；一级菜单固定展开、不可收起（与固定报表管理一致）。</w:t>
      </w:r>
    </w:p>
    <w:p w14:paraId="10F065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2.2.2　台账页面结构</w:t>
      </w:r>
    </w:p>
    <w:p w14:paraId="117693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台账头部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：面板标题为「报表名称 · 年度台账」；右侧为更新频率块（月度）、📅 数据年度下拉、「📥 导出」按钮。</w:t>
      </w:r>
    </w:p>
    <w:p w14:paraId="0C77C2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台账表格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单级表头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= 结构列（01/03 表：序号、指标名称、单位；02 表：序号、指标分类、指标分项、指标名称、单位；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不显示指标属性标签列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）+ 各月「N月末」单列；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不设同比列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C0FA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结构列合并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：02 表的指标分类/指标分项沿用固定报表的 rowspan 纵向合并规则（仅保留结构列内的合并）。</w:t>
      </w:r>
    </w:p>
    <w:p w14:paraId="28D587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无指标概览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：台账页面移除 KPI 卡片，仅保留台账表格。</w:t>
      </w:r>
    </w:p>
    <w:p w14:paraId="1892B6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2.2.3　台账取数与展示规则</w:t>
      </w:r>
    </w:p>
    <w:p w14:paraId="7EC9FE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取数列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：取固定报表「截止本月末-实际」列作为各月末台账值；与固定报表同源取数（指标、维度与数据模型复用原固定报表）。</w:t>
      </w:r>
    </w:p>
    <w:p w14:paraId="7DFBE0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：可选范围 2023 ～ 当前年度，默认选中当前年度。</w:t>
      </w:r>
    </w:p>
    <w:p w14:paraId="13412F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月份列展示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：当前年度展示 1 月至本月；历史年度展示 1—12 月。</w:t>
      </w:r>
    </w:p>
    <w:p w14:paraId="7B7A74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月内数值推算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：累计流量类指标 = 年末值 </w:t>
      </w:r>
      <w:r>
        <w:rPr>
          <w:rFonts w:hint="eastAsia" w:ascii="宋体" w:hAnsi="宋体" w:eastAsia="宋体" w:cs="宋体"/>
          <w:color w:val="FF0000"/>
          <w:sz w:val="24"/>
          <w:szCs w:val="24"/>
          <w:shd w:val="clear" w:fill="FFFFFF"/>
          <w:lang w:eastAsia="zh-CN"/>
        </w:rPr>
        <w:t>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m/12；存量/比率类指标年内缓变（12 月 = 原值）。</w:t>
      </w:r>
    </w:p>
    <w:p w14:paraId="1A8D20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缺数口径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：台账口径下所有指标均应有月末值；仅个别月份未取到数（源值空、-、非数值）→ 统一 </w:t>
      </w:r>
      <w:r>
        <w:rPr>
          <w:rStyle w:val="19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不用 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D41440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2.2.4　台账查询与导出</w:t>
      </w:r>
    </w:p>
    <w:p w14:paraId="5A6A96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：仅年度下拉（无月份）；切换年度仅重渲染当前台账面板，toast 提示「已加载 YYYY 年 1—M 月台账 · 报表标题」。</w:t>
      </w:r>
    </w:p>
    <w:p w14:paraId="2B1AC3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：台账头部「📥 导出」按钮导出当前年度台账表（演示占位，正式环境对接导出接口）。</w:t>
      </w:r>
    </w:p>
    <w:p w14:paraId="4F87EC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：导出表头与数据展示保持和系统页面一致（结构列 + 各月「N月末」单列，不含同比列与指标属性标签列）；</w:t>
      </w:r>
    </w:p>
    <w:p w14:paraId="7EE0AF0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「华润保险-报表名称台账-数据年度年.xlsx」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；数据年度为当前所选台账年度（如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华润保险-01-财务指标台账-2026年.xlsx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0BDF53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2.2.5　系统原型示意图</w:t>
      </w:r>
    </w:p>
    <w:p w14:paraId="3D2366B6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以下截图取自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当前系统页面实机界面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（演示数据；下拉、按钮等控件为页面原样，Word 内不可交互）。</w:t>
      </w:r>
    </w:p>
    <w:p w14:paraId="34EB62A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01-财务指标台账</w:t>
      </w:r>
    </w:p>
    <w:p w14:paraId="46C119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"D:\\work-2026\\AI-test\\华润-战略部数据应用-LAB\\shots_ins\\ins_led01.png"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8" o:spt="75" alt="D:\work-2026\AI-test\华润-战略部数据应用-LAB\shots_ins\ins_led01.png" type="#_x0000_t75" style="height:291.75pt;width:440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657C1D7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02-业务指标台账</w:t>
      </w:r>
    </w:p>
    <w:p w14:paraId="65A3080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"D:\\work-2026\\AI-test\\华润-战略部数据应用-LAB\\shots_ins\\ins_led02.png"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9" o:spt="75" alt="D:\work-2026\AI-test\华润-战略部数据应用-LAB\shots_ins\ins_led02.png" type="#_x0000_t75" style="height:534.75pt;width:440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491A918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03-关键管理指标台账</w:t>
      </w:r>
    </w:p>
    <w:p w14:paraId="1A71CF4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"D:\\work-2026\\AI-test\\华润-战略部数据应用-LAB\\shots_ins\\ins_led03.png"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0" o:spt="75" alt="D:\work-2026\AI-test\华润-战略部数据应用-LAB\shots_ins\ins_led03.png" type="#_x0000_t75" style="height:291.75pt;width:440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61CB5E8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7" w:name="_Toc24437"/>
      <w:r>
        <w:rPr>
          <w:shd w:val="clear" w:fill="FFFFFF"/>
        </w:rPr>
        <w:t>三、权限说明</w:t>
      </w:r>
      <w:bookmarkEnd w:id="7"/>
    </w:p>
    <w:p w14:paraId="60D91E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：华润保险报表挂接于平台「数据应用 → 固定报表管理」菜单下，其对应报表台账挂接于一级菜单「报表台账管理」下（与固定报表管理同级，结构为 报表台账管理 → 公司分组 → 各报表台账）；两者查看权限均遵循平台统一的角色-菜单权限管理，用户获授「固定报表管理 → 华润保险」「报表台账管理 → 华润保险」菜单权限后方可进入查看。为全体战略部人员开放固定报表管理与报表台账管理模块权限。</w:t>
      </w:r>
    </w:p>
    <w:p w14:paraId="509458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数据范围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：报表数据为华润保险全量指标体系范围，暂不划分数据范围。</w:t>
      </w:r>
    </w:p>
    <w:p w14:paraId="7B127A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功能权限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：支持战略部全体人员筛选和导出功能。</w:t>
      </w:r>
    </w:p>
    <w:p w14:paraId="62A7FF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维护权限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：全年预算等报送类数据由业务人员在通用报送平台维护，本模块只读展示，不提供数据维护入口。</w:t>
      </w:r>
    </w:p>
    <w:p w14:paraId="313E00E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8" w:name="_Toc17324"/>
      <w:r>
        <w:rPr>
          <w:shd w:val="clear" w:fill="FFFFFF"/>
        </w:rPr>
        <w:t>四、业务确认</w:t>
      </w:r>
      <w:bookmarkEnd w:id="8"/>
    </w:p>
    <w:tbl>
      <w:tblPr>
        <w:tblStyle w:val="14"/>
        <w:tblW w:w="51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91"/>
        <w:gridCol w:w="2251"/>
        <w:gridCol w:w="1664"/>
        <w:gridCol w:w="1679"/>
        <w:gridCol w:w="1875"/>
      </w:tblGrid>
      <w:tr w14:paraId="2097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093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9FD8C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确认角色</w:t>
            </w:r>
          </w:p>
        </w:tc>
        <w:tc>
          <w:tcPr>
            <w:tcW w:w="1177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A717CE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公司-部门</w:t>
            </w:r>
          </w:p>
        </w:tc>
        <w:tc>
          <w:tcPr>
            <w:tcW w:w="87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2C971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确认人（签字）</w:t>
            </w:r>
          </w:p>
        </w:tc>
        <w:tc>
          <w:tcPr>
            <w:tcW w:w="878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FC93CF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98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59AE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确认意见</w:t>
            </w:r>
          </w:p>
        </w:tc>
      </w:tr>
      <w:tr w14:paraId="4DC7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CE01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需求提出负责人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05E6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华润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金控-战略部</w:t>
            </w: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192C5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869452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3005C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3503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A5D2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金控数据团队负责人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7362CB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华润金控-科技部</w:t>
            </w: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E7C54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BF2DF4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E7904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29F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5D10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需求开发负责人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9E595F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华润数科-</w:t>
            </w: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09387B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70712A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96C52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2994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747B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需求设计负责人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B558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招商金科-数智研发中心</w:t>
            </w:r>
          </w:p>
          <w:p w14:paraId="55EB7971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F77AC5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DFA1E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DDD37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 w14:paraId="2AA9CFDB">
      <w:pPr>
        <w:pStyle w:val="13"/>
        <w:keepNext w:val="0"/>
        <w:keepLines w:val="0"/>
        <w:widowControl/>
        <w:suppressLineNumbers w:val="0"/>
        <w:spacing w:before="480" w:beforeAutospacing="0" w:after="0" w:afterAutospacing="0" w:line="23" w:lineRule="atLeast"/>
        <w:ind w:left="0" w:right="0"/>
        <w:jc w:val="center"/>
        <w:rPr>
          <w:color w:val="404040"/>
        </w:rPr>
      </w:pPr>
      <w:r>
        <w:rPr>
          <w:rFonts w:hint="eastAsia" w:ascii="宋体" w:hAnsi="宋体" w:eastAsia="宋体" w:cs="宋体"/>
          <w:color w:val="404040"/>
          <w:sz w:val="24"/>
          <w:szCs w:val="24"/>
          <w:shd w:val="clear" w:fill="FFFFFF"/>
        </w:rPr>
        <w:t>（全文完）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800" w:footer="90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7F227">
    <w:pPr>
      <w:pStyle w:val="9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 xml:space="preserve">第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  共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NUMPAGES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16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0477C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/>
        <w:sz w:val="18"/>
        <w:lang w:eastAsia="zh-CN"/>
      </w:rPr>
      <w:t>华润保险模块 · 数据应用需求文档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EFEC4"/>
    <w:multiLevelType w:val="multilevel"/>
    <w:tmpl w:val="819EFEC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0A2916"/>
    <w:multiLevelType w:val="singleLevel"/>
    <w:tmpl w:val="950A29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03C68AE"/>
    <w:multiLevelType w:val="multilevel"/>
    <w:tmpl w:val="A03C68A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B308C0"/>
    <w:multiLevelType w:val="singleLevel"/>
    <w:tmpl w:val="CFB308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D1B22DA"/>
    <w:multiLevelType w:val="multilevel"/>
    <w:tmpl w:val="DD1B22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8AA1CBF"/>
    <w:multiLevelType w:val="singleLevel"/>
    <w:tmpl w:val="E8AA1C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AA99096"/>
    <w:multiLevelType w:val="multilevel"/>
    <w:tmpl w:val="EAA990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5C8D395"/>
    <w:multiLevelType w:val="singleLevel"/>
    <w:tmpl w:val="05C8D3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C33B28F"/>
    <w:multiLevelType w:val="multilevel"/>
    <w:tmpl w:val="0C33B28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6E30143"/>
    <w:multiLevelType w:val="singleLevel"/>
    <w:tmpl w:val="36E301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80E9C7B"/>
    <w:multiLevelType w:val="multilevel"/>
    <w:tmpl w:val="380E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92C8B0D"/>
    <w:multiLevelType w:val="singleLevel"/>
    <w:tmpl w:val="492C8B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4E7C6A10"/>
    <w:multiLevelType w:val="singleLevel"/>
    <w:tmpl w:val="4E7C6A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F5AED9E"/>
    <w:multiLevelType w:val="singleLevel"/>
    <w:tmpl w:val="5F5AED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65924E42"/>
    <w:multiLevelType w:val="multilevel"/>
    <w:tmpl w:val="65924E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8A322E5"/>
    <w:multiLevelType w:val="multilevel"/>
    <w:tmpl w:val="78A322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B929547"/>
    <w:multiLevelType w:val="singleLevel"/>
    <w:tmpl w:val="7B9295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0"/>
  </w:num>
  <w:num w:numId="5">
    <w:abstractNumId w:val="16"/>
  </w:num>
  <w:num w:numId="6">
    <w:abstractNumId w:val="1"/>
  </w:num>
  <w:num w:numId="7">
    <w:abstractNumId w:val="8"/>
  </w:num>
  <w:num w:numId="8">
    <w:abstractNumId w:val="3"/>
  </w:num>
  <w:num w:numId="9">
    <w:abstractNumId w:val="7"/>
  </w:num>
  <w:num w:numId="10">
    <w:abstractNumId w:val="5"/>
  </w:num>
  <w:num w:numId="11">
    <w:abstractNumId w:val="12"/>
  </w:num>
  <w:num w:numId="12">
    <w:abstractNumId w:val="13"/>
  </w:num>
  <w:num w:numId="13">
    <w:abstractNumId w:val="6"/>
  </w:num>
  <w:num w:numId="14">
    <w:abstractNumId w:val="15"/>
  </w:num>
  <w:num w:numId="15">
    <w:abstractNumId w:val="4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09483348"/>
    <w:rsid w:val="0A9E16FB"/>
    <w:rsid w:val="0B224D72"/>
    <w:rsid w:val="10534754"/>
    <w:rsid w:val="13003AE3"/>
    <w:rsid w:val="20800FE2"/>
    <w:rsid w:val="225E0A1A"/>
    <w:rsid w:val="2C825415"/>
    <w:rsid w:val="312A7037"/>
    <w:rsid w:val="35BB6E36"/>
    <w:rsid w:val="36F124CE"/>
    <w:rsid w:val="3B246918"/>
    <w:rsid w:val="3B9D52DD"/>
    <w:rsid w:val="3BB86DBA"/>
    <w:rsid w:val="3D1F4154"/>
    <w:rsid w:val="3ED76D29"/>
    <w:rsid w:val="40D850F7"/>
    <w:rsid w:val="40E44F98"/>
    <w:rsid w:val="43727D1C"/>
    <w:rsid w:val="47BD2EBF"/>
    <w:rsid w:val="5571253B"/>
    <w:rsid w:val="56754367"/>
    <w:rsid w:val="56C708EE"/>
    <w:rsid w:val="591304B3"/>
    <w:rsid w:val="59145F35"/>
    <w:rsid w:val="594B280B"/>
    <w:rsid w:val="5B466C3B"/>
    <w:rsid w:val="60E24E81"/>
    <w:rsid w:val="63E23270"/>
    <w:rsid w:val="666D71C0"/>
    <w:rsid w:val="69D364AE"/>
    <w:rsid w:val="69FF27F5"/>
    <w:rsid w:val="6AB87A25"/>
    <w:rsid w:val="6ABC7372"/>
    <w:rsid w:val="6F95081D"/>
    <w:rsid w:val="75C810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EastAsia" w:hAnsiTheme="minorEastAsia" w:eastAsiaTheme="minorEastAsia" w:cstheme="minorEastAsia"/>
      <w:kern w:val="0"/>
      <w:sz w:val="21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黑体" w:hAnsi="黑体" w:eastAsia="黑体" w:cs="黑体"/>
      <w:b/>
      <w:bCs/>
      <w:color w:val="000000"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C8962E" w:sz="0" w:space="0"/>
        <w:bottom w:val="none" w:color="auto" w:sz="0" w:space="0"/>
        <w:right w:val="none" w:color="auto" w:sz="0" w:space="0"/>
      </w:pBdr>
      <w:spacing w:before="340" w:beforeAutospacing="0" w:after="200" w:afterAutospacing="0"/>
      <w:ind w:left="0" w:right="0"/>
      <w:jc w:val="left"/>
      <w:outlineLvl w:val="2"/>
    </w:pPr>
    <w:rPr>
      <w:rFonts w:hint="eastAsia" w:ascii="黑体" w:hAnsi="黑体" w:eastAsia="黑体" w:cs="黑体"/>
      <w:b/>
      <w:bCs/>
      <w:color w:val="000000"/>
      <w:spacing w:val="15"/>
      <w:kern w:val="0"/>
      <w:sz w:val="28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2A5298" w:sz="0" w:space="0"/>
        <w:bottom w:val="none" w:color="auto" w:sz="0" w:space="0"/>
        <w:right w:val="none" w:color="auto" w:sz="0" w:space="0"/>
      </w:pBdr>
      <w:spacing w:before="260" w:beforeAutospacing="0" w:after="160" w:afterAutospacing="0"/>
      <w:ind w:left="0" w:right="0"/>
      <w:jc w:val="left"/>
      <w:outlineLvl w:val="3"/>
    </w:pPr>
    <w:rPr>
      <w:rFonts w:hint="eastAsia" w:ascii="黑体" w:hAnsi="黑体" w:eastAsia="黑体" w:cs="黑体"/>
      <w:b/>
      <w:bCs/>
      <w:color w:val="000000"/>
      <w:kern w:val="0"/>
      <w:sz w:val="26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00" w:beforeAutospacing="0" w:after="120" w:afterAutospacing="0"/>
      <w:ind w:left="0" w:right="0"/>
      <w:jc w:val="left"/>
      <w:outlineLvl w:val="4"/>
    </w:pPr>
    <w:rPr>
      <w:rFonts w:hint="eastAsia" w:ascii="黑体" w:hAnsi="黑体" w:eastAsia="黑体" w:cs="黑体"/>
      <w:b/>
      <w:bCs/>
      <w:color w:val="000000"/>
      <w:kern w:val="0"/>
      <w:sz w:val="24"/>
      <w:szCs w:val="26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200" w:beforeAutospacing="0" w:after="12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uiPriority w:val="0"/>
    <w:pPr>
      <w:pBdr>
        <w:top w:val="single" w:color="EEF1F6" w:sz="6" w:space="13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styleId="1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styleId="11">
    <w:name w:val="toc 4"/>
    <w:basedOn w:val="1"/>
    <w:next w:val="1"/>
    <w:qFormat/>
    <w:uiPriority w:val="0"/>
    <w:pPr>
      <w:ind w:left="1260" w:leftChars="600"/>
    </w:p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80" w:beforeAutospacing="0" w:after="8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FollowedHyperlink"/>
    <w:basedOn w:val="15"/>
    <w:qFormat/>
    <w:uiPriority w:val="0"/>
    <w:rPr>
      <w:color w:val="2A5298"/>
      <w:u w:val="single"/>
    </w:rPr>
  </w:style>
  <w:style w:type="character" w:styleId="18">
    <w:name w:val="Hyperlink"/>
    <w:basedOn w:val="15"/>
    <w:qFormat/>
    <w:uiPriority w:val="0"/>
    <w:rPr>
      <w:color w:val="2A5298"/>
      <w:u w:val="single"/>
    </w:rPr>
  </w:style>
  <w:style w:type="character" w:styleId="19">
    <w:name w:val="HTML Code"/>
    <w:basedOn w:val="15"/>
    <w:qFormat/>
    <w:uiPriority w:val="0"/>
    <w:rPr>
      <w:rFonts w:ascii="Consolas" w:hAnsi="Consolas" w:eastAsia="Consolas" w:cs="Consolas"/>
      <w:color w:val="000000"/>
      <w:sz w:val="18"/>
      <w:szCs w:val="18"/>
      <w:bdr w:val="single" w:color="E0E5EE" w:sz="6" w:space="0"/>
      <w:shd w:val="clear" w:fill="F2F4F8"/>
    </w:rPr>
  </w:style>
  <w:style w:type="paragraph" w:customStyle="1" w:styleId="20">
    <w:name w:val="gq-fil-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">
    <w:name w:val="std-ms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2">
    <w:name w:val="std-drawer-tags"/>
    <w:basedOn w:val="1"/>
    <w:uiPriority w:val="0"/>
    <w:pPr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23">
    <w:name w:val="std-st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4">
    <w:name w:val="query-freq-box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lang w:val="en-US" w:eastAsia="zh-CN" w:bidi="ar"/>
    </w:rPr>
  </w:style>
  <w:style w:type="paragraph" w:customStyle="1" w:styleId="25">
    <w:name w:val="cock-des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color w:val="6F8BAB"/>
      <w:kern w:val="0"/>
      <w:sz w:val="18"/>
      <w:szCs w:val="18"/>
      <w:lang w:val="en-US" w:eastAsia="zh-CN" w:bidi="ar"/>
    </w:rPr>
  </w:style>
  <w:style w:type="paragraph" w:customStyle="1" w:styleId="26">
    <w:name w:val="header-nav"/>
    <w:basedOn w:val="1"/>
    <w:uiPriority w:val="0"/>
    <w:pPr>
      <w:spacing w:before="0" w:beforeAutospacing="0" w:after="180" w:afterAutospacing="0"/>
      <w:ind w:left="0" w:right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7">
    <w:name w:val="gk-wide-title"/>
    <w:basedOn w:val="1"/>
    <w:qFormat/>
    <w:uiPriority w:val="0"/>
    <w:pPr>
      <w:jc w:val="left"/>
    </w:pPr>
    <w:rPr>
      <w:b/>
      <w:bCs/>
      <w:color w:val="0D6EF0"/>
      <w:spacing w:val="15"/>
      <w:kern w:val="0"/>
      <w:sz w:val="19"/>
      <w:szCs w:val="19"/>
      <w:lang w:val="en-US" w:eastAsia="zh-CN" w:bidi="ar"/>
    </w:rPr>
  </w:style>
  <w:style w:type="paragraph" w:customStyle="1" w:styleId="28">
    <w:name w:val="stick-1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9">
    <w:name w:val="std-drawer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30">
    <w:name w:val="page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1">
    <w:name w:val="gk-gaug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32">
    <w:name w:val="std-name"/>
    <w:basedOn w:val="1"/>
    <w:uiPriority w:val="0"/>
    <w:pPr>
      <w:spacing w:line="23" w:lineRule="atLeast"/>
      <w:jc w:val="left"/>
    </w:pPr>
    <w:rPr>
      <w:b/>
      <w:bCs/>
      <w:kern w:val="0"/>
      <w:lang w:val="en-US" w:eastAsia="zh-CN" w:bidi="ar"/>
    </w:rPr>
  </w:style>
  <w:style w:type="paragraph" w:customStyle="1" w:styleId="33">
    <w:name w:val="progress-fil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34">
    <w:name w:val="ym-label"/>
    <w:basedOn w:val="1"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35">
    <w:name w:val="header-lef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36">
    <w:name w:val="gk-2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37">
    <w:name w:val="cnt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38">
    <w:name w:val="cnt2"/>
    <w:basedOn w:val="1"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39">
    <w:name w:val="cnt4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40">
    <w:name w:val="cnt6"/>
    <w:basedOn w:val="1"/>
    <w:qFormat/>
    <w:uiPriority w:val="0"/>
    <w:pPr>
      <w:jc w:val="left"/>
    </w:pPr>
    <w:rPr>
      <w:color w:val="808080"/>
      <w:kern w:val="0"/>
      <w:sz w:val="20"/>
      <w:szCs w:val="20"/>
      <w:lang w:val="en-US" w:eastAsia="zh-CN" w:bidi="ar"/>
    </w:rPr>
  </w:style>
  <w:style w:type="paragraph" w:customStyle="1" w:styleId="41">
    <w:name w:val="gk-np-cap"/>
    <w:basedOn w:val="1"/>
    <w:qFormat/>
    <w:uiPriority w:val="0"/>
    <w:pPr>
      <w:spacing w:after="75" w:afterAutospacing="0"/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42">
    <w:name w:val="query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3">
    <w:name w:val="query-pa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4">
    <w:name w:val="table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45">
    <w:name w:val="brief"/>
    <w:basedOn w:val="1"/>
    <w:qFormat/>
    <w:uiPriority w:val="0"/>
    <w:pPr>
      <w:jc w:val="left"/>
    </w:pPr>
    <w:rPr>
      <w:color w:val="000000"/>
      <w:kern w:val="0"/>
      <w:lang w:val="en-US" w:eastAsia="zh-CN" w:bidi="ar"/>
    </w:rPr>
  </w:style>
  <w:style w:type="paragraph" w:customStyle="1" w:styleId="46">
    <w:name w:val="std-drawer-titl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line="23" w:lineRule="atLeast"/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47">
    <w:name w:val="xmark"/>
    <w:basedOn w:val="1"/>
    <w:qFormat/>
    <w:uiPriority w:val="0"/>
    <w:pPr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48">
    <w:name w:val="gq-meta"/>
    <w:basedOn w:val="1"/>
    <w:qFormat/>
    <w:uiPriority w:val="0"/>
    <w:pPr>
      <w:jc w:val="left"/>
    </w:pPr>
    <w:rPr>
      <w:color w:val="EAF6FF"/>
      <w:kern w:val="0"/>
      <w:sz w:val="18"/>
      <w:szCs w:val="18"/>
      <w:lang w:val="en-US" w:eastAsia="zh-CN" w:bidi="ar"/>
    </w:rPr>
  </w:style>
  <w:style w:type="paragraph" w:customStyle="1" w:styleId="49">
    <w:name w:val="header-sub"/>
    <w:basedOn w:val="1"/>
    <w:uiPriority w:val="0"/>
    <w:pPr>
      <w:spacing w:before="15" w:beforeAutospacing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50">
    <w:name w:val="gq-ba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51">
    <w:name w:val="topnav-sub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52">
    <w:name w:val="std-tree-cb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53">
    <w:name w:val="ck-axis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sz w:val="15"/>
      <w:szCs w:val="15"/>
      <w:lang w:val="en-US" w:eastAsia="zh-CN" w:bidi="ar"/>
    </w:rPr>
  </w:style>
  <w:style w:type="paragraph" w:customStyle="1" w:styleId="54">
    <w:name w:val="cock-ba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55">
    <w:name w:val="hl-ex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E9B3"/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56">
    <w:name w:val="gk-tip-floa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vanish/>
      <w:color w:val="FFFFFF"/>
      <w:spacing w:val="8"/>
      <w:kern w:val="0"/>
      <w:sz w:val="18"/>
      <w:szCs w:val="18"/>
      <w:lang w:val="en-US" w:eastAsia="zh-CN" w:bidi="ar"/>
    </w:rPr>
  </w:style>
  <w:style w:type="paragraph" w:customStyle="1" w:styleId="57">
    <w:name w:val="group-row"/>
    <w:basedOn w:val="1"/>
    <w:qFormat/>
    <w:uiPriority w:val="0"/>
    <w:pPr>
      <w:pBdr>
        <w:left w:val="none" w:color="auto" w:sz="0" w:space="0"/>
      </w:pBdr>
      <w:jc w:val="left"/>
    </w:pPr>
    <w:rPr>
      <w:b/>
      <w:bCs/>
      <w:kern w:val="0"/>
      <w:lang w:val="en-US" w:eastAsia="zh-CN" w:bidi="ar"/>
    </w:rPr>
  </w:style>
  <w:style w:type="paragraph" w:customStyle="1" w:styleId="58">
    <w:name w:val="stick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59">
    <w:name w:val="stick2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60">
    <w:name w:val="stick4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61">
    <w:name w:val="ph"/>
    <w:basedOn w:val="1"/>
    <w:uiPriority w:val="0"/>
    <w:pPr>
      <w:jc w:val="left"/>
    </w:pPr>
    <w:rPr>
      <w:rFonts w:ascii="黑体" w:hAnsi="宋体" w:eastAsia="黑体" w:cs="黑体"/>
      <w:b/>
      <w:bCs/>
      <w:color w:val="000000"/>
      <w:spacing w:val="0"/>
      <w:kern w:val="0"/>
      <w:lang w:val="en-US" w:eastAsia="zh-CN" w:bidi="ar"/>
    </w:rPr>
  </w:style>
  <w:style w:type="paragraph" w:customStyle="1" w:styleId="62">
    <w:name w:val="tt-point"/>
    <w:basedOn w:val="1"/>
    <w:qFormat/>
    <w:uiPriority w:val="0"/>
    <w:pPr>
      <w:shd w:val="clear" w:fill="DCE8F8"/>
      <w:jc w:val="left"/>
    </w:pPr>
    <w:rPr>
      <w:color w:val="000000"/>
      <w:kern w:val="0"/>
      <w:lang w:val="en-US" w:eastAsia="zh-CN" w:bidi="ar"/>
    </w:rPr>
  </w:style>
  <w:style w:type="paragraph" w:customStyle="1" w:styleId="63">
    <w:name w:val="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64">
    <w:name w:val="std-tree-exp"/>
    <w:basedOn w:val="1"/>
    <w:qFormat/>
    <w:uiPriority w:val="0"/>
    <w:pPr>
      <w:jc w:val="center"/>
    </w:pPr>
    <w:rPr>
      <w:color w:val="8A94A3"/>
      <w:kern w:val="0"/>
      <w:sz w:val="15"/>
      <w:szCs w:val="15"/>
      <w:lang w:val="en-US" w:eastAsia="zh-CN" w:bidi="ar"/>
    </w:rPr>
  </w:style>
  <w:style w:type="paragraph" w:customStyle="1" w:styleId="65">
    <w:name w:val="sub"/>
    <w:basedOn w:val="1"/>
    <w:qFormat/>
    <w:uiPriority w:val="0"/>
    <w:pPr>
      <w:jc w:val="left"/>
    </w:pPr>
    <w:rPr>
      <w:spacing w:val="15"/>
      <w:kern w:val="0"/>
      <w:sz w:val="21"/>
      <w:szCs w:val="21"/>
      <w:lang w:val="en-US" w:eastAsia="zh-CN" w:bidi="ar"/>
    </w:rPr>
  </w:style>
  <w:style w:type="paragraph" w:customStyle="1" w:styleId="66">
    <w:name w:val="std-tree-pop"/>
    <w:basedOn w:val="1"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67">
    <w:name w:val="std-tabs"/>
    <w:basedOn w:val="1"/>
    <w:qFormat/>
    <w:uiPriority w:val="0"/>
    <w:pPr>
      <w:spacing w:before="3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68">
    <w:name w:val="query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69">
    <w:name w:val="gq-bar-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70">
    <w:name w:val="meta"/>
    <w:basedOn w:val="1"/>
    <w:uiPriority w:val="0"/>
    <w:pPr>
      <w:spacing w:before="330" w:before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71">
    <w:name w:val="btn-primary"/>
    <w:basedOn w:val="1"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72">
    <w:name w:val="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5" w:beforeAutospacing="0" w:after="15" w:afterAutospacing="0"/>
      <w:ind w:left="30" w:right="30"/>
      <w:jc w:val="left"/>
    </w:pPr>
    <w:rPr>
      <w:color w:val="000000"/>
      <w:kern w:val="0"/>
      <w:sz w:val="17"/>
      <w:szCs w:val="17"/>
      <w:lang w:val="en-US" w:eastAsia="zh-CN" w:bidi="ar"/>
    </w:rPr>
  </w:style>
  <w:style w:type="paragraph" w:customStyle="1" w:styleId="73">
    <w:name w:val="gk-calswitch"/>
    <w:basedOn w:val="1"/>
    <w:qFormat/>
    <w:uiPriority w:val="0"/>
    <w:pPr>
      <w:spacing w:before="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74">
    <w:name w:val="confirm-box"/>
    <w:basedOn w:val="1"/>
    <w:uiPriority w:val="0"/>
    <w:pPr>
      <w:pBdr>
        <w:top w:val="none" w:color="BFE3C9" w:sz="0" w:space="0"/>
        <w:left w:val="none" w:color="BFE3C9" w:sz="0" w:space="0"/>
        <w:bottom w:val="none" w:color="BFE3C9" w:sz="0" w:space="0"/>
        <w:right w:val="none" w:color="BFE3C9" w:sz="0" w:space="0"/>
      </w:pBdr>
      <w:shd w:val="clear" w:fill="EEF7F1"/>
      <w:spacing w:before="80" w:beforeAutospacing="0" w:after="80" w:afterAutospacing="0"/>
      <w:ind w:left="0" w:right="0"/>
      <w:jc w:val="left"/>
    </w:pPr>
    <w:rPr>
      <w:color w:val="000000"/>
      <w:kern w:val="0"/>
      <w:sz w:val="19"/>
      <w:szCs w:val="19"/>
      <w:lang w:val="en-US" w:eastAsia="zh-CN" w:bidi="ar"/>
    </w:rPr>
  </w:style>
  <w:style w:type="paragraph" w:customStyle="1" w:styleId="75">
    <w:name w:val="std-page-siz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76">
    <w:name w:val="collapse-arrow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77">
    <w:name w:val="gk-wide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8">
    <w:name w:val="tag-none"/>
    <w:basedOn w:val="1"/>
    <w:uiPriority w:val="0"/>
    <w:pPr>
      <w:jc w:val="left"/>
    </w:pPr>
    <w:rPr>
      <w:color w:val="C0C4CC"/>
      <w:kern w:val="0"/>
      <w:lang w:val="en-US" w:eastAsia="zh-CN" w:bidi="ar"/>
    </w:rPr>
  </w:style>
  <w:style w:type="paragraph" w:customStyle="1" w:styleId="79">
    <w:name w:val="none"/>
    <w:basedOn w:val="1"/>
    <w:uiPriority w:val="0"/>
    <w:pP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customStyle="1" w:styleId="80">
    <w:name w:val="assess-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DCE8F8"/>
      <w:spacing w:line="24" w:lineRule="atLeast"/>
      <w:jc w:val="left"/>
    </w:pPr>
    <w:rPr>
      <w:b/>
      <w:bCs/>
      <w:color w:val="2A5298"/>
      <w:kern w:val="0"/>
      <w:sz w:val="16"/>
      <w:szCs w:val="16"/>
      <w:lang w:val="en-US" w:eastAsia="zh-CN" w:bidi="ar"/>
    </w:rPr>
  </w:style>
  <w:style w:type="paragraph" w:customStyle="1" w:styleId="81">
    <w:name w:val="tt-period"/>
    <w:basedOn w:val="1"/>
    <w:uiPriority w:val="0"/>
    <w:pPr>
      <w:shd w:val="clear" w:fill="FDE3C8"/>
      <w:jc w:val="left"/>
    </w:pPr>
    <w:rPr>
      <w:color w:val="000000"/>
      <w:kern w:val="0"/>
      <w:lang w:val="en-US" w:eastAsia="zh-CN" w:bidi="ar"/>
    </w:rPr>
  </w:style>
  <w:style w:type="paragraph" w:customStyle="1" w:styleId="82">
    <w:name w:val="std-pager-total"/>
    <w:basedOn w:val="1"/>
    <w:qFormat/>
    <w:uiPriority w:val="0"/>
    <w:pPr>
      <w:jc w:val="left"/>
    </w:pPr>
    <w:rPr>
      <w:color w:val="4B5563"/>
      <w:kern w:val="0"/>
      <w:sz w:val="18"/>
      <w:szCs w:val="18"/>
      <w:lang w:val="en-US" w:eastAsia="zh-CN" w:bidi="ar"/>
    </w:rPr>
  </w:style>
  <w:style w:type="paragraph" w:customStyle="1" w:styleId="83">
    <w:name w:val="cock-charts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4">
    <w:name w:val="dev-box"/>
    <w:basedOn w:val="1"/>
    <w:uiPriority w:val="0"/>
    <w:pPr>
      <w:pBdr>
        <w:top w:val="none" w:color="C6D8EE" w:sz="0" w:space="0"/>
        <w:left w:val="none" w:color="C6D8EE" w:sz="0" w:space="0"/>
        <w:bottom w:val="none" w:color="C6D8EE" w:sz="0" w:space="0"/>
        <w:right w:val="none" w:color="C6D8EE" w:sz="0" w:space="0"/>
      </w:pBdr>
      <w:shd w:val="clear" w:fill="EEF3FA"/>
      <w:spacing w:before="80" w:beforeAutospacing="0" w:after="80" w:afterAutospacing="0"/>
      <w:ind w:left="0" w:right="0"/>
      <w:jc w:val="left"/>
    </w:pPr>
    <w:rPr>
      <w:color w:val="000000"/>
      <w:kern w:val="0"/>
      <w:sz w:val="24"/>
      <w:szCs w:val="24"/>
      <w:lang w:val="en-US" w:eastAsia="zh-CN" w:bidi="ar"/>
    </w:rPr>
  </w:style>
  <w:style w:type="paragraph" w:customStyle="1" w:styleId="85">
    <w:name w:val="chart-car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86">
    <w:name w:val="top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spacing w:val="45"/>
      <w:kern w:val="0"/>
      <w:sz w:val="22"/>
      <w:szCs w:val="22"/>
      <w:lang w:val="en-US" w:eastAsia="zh-CN" w:bidi="ar"/>
    </w:rPr>
  </w:style>
  <w:style w:type="paragraph" w:customStyle="1" w:styleId="87">
    <w:name w:val="lb"/>
    <w:basedOn w:val="1"/>
    <w:qFormat/>
    <w:uiPriority w:val="0"/>
    <w:pPr>
      <w:ind w:right="75"/>
      <w:jc w:val="left"/>
      <w:textAlignment w:val="auto"/>
    </w:pPr>
    <w:rPr>
      <w:kern w:val="0"/>
      <w:lang w:val="en-US" w:eastAsia="zh-CN" w:bidi="ar"/>
    </w:rPr>
  </w:style>
  <w:style w:type="paragraph" w:customStyle="1" w:styleId="88">
    <w:name w:val="kpi-trends"/>
    <w:basedOn w:val="1"/>
    <w:qFormat/>
    <w:uiPriority w:val="0"/>
    <w:pPr>
      <w:spacing w:before="120" w:beforeAutospacing="0"/>
      <w:jc w:val="left"/>
    </w:pPr>
    <w:rPr>
      <w:kern w:val="0"/>
      <w:lang w:val="en-US" w:eastAsia="zh-CN" w:bidi="ar"/>
    </w:rPr>
  </w:style>
  <w:style w:type="paragraph" w:customStyle="1" w:styleId="89">
    <w:name w:val="kpi-delta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90">
    <w:name w:val="panel-title"/>
    <w:basedOn w:val="1"/>
    <w:uiPriority w:val="0"/>
    <w:pPr>
      <w:jc w:val="left"/>
    </w:pPr>
    <w:rPr>
      <w:rFonts w:ascii="Courier New" w:hAnsi="Courier New" w:cs="Courier New"/>
      <w:b/>
      <w:bCs/>
      <w:kern w:val="0"/>
      <w:sz w:val="24"/>
      <w:szCs w:val="24"/>
      <w:lang w:val="en-US" w:eastAsia="zh-CN" w:bidi="ar"/>
    </w:rPr>
  </w:style>
  <w:style w:type="paragraph" w:customStyle="1" w:styleId="91">
    <w:name w:val="head-demo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2">
    <w:name w:val="tip"/>
    <w:basedOn w:val="1"/>
    <w:uiPriority w:val="0"/>
    <w:pPr>
      <w:pBdr>
        <w:top w:val="none" w:color="F0DCA8" w:sz="0" w:space="0"/>
        <w:left w:val="none" w:color="F0DCA8" w:sz="0" w:space="0"/>
        <w:bottom w:val="none" w:color="F0DCA8" w:sz="0" w:space="0"/>
        <w:right w:val="none" w:color="F0DCA8" w:sz="0" w:space="0"/>
      </w:pBdr>
      <w:shd w:val="clear" w:fill="FFF8E6"/>
      <w:spacing w:before="80" w:beforeAutospacing="0" w:after="80" w:afterAutospacing="0"/>
      <w:ind w:left="0" w:right="0"/>
      <w:jc w:val="left"/>
    </w:pPr>
    <w:rPr>
      <w:color w:val="000000"/>
      <w:kern w:val="0"/>
      <w:sz w:val="24"/>
      <w:szCs w:val="24"/>
      <w:lang w:val="en-US" w:eastAsia="zh-CN" w:bidi="ar"/>
    </w:rPr>
  </w:style>
  <w:style w:type="paragraph" w:customStyle="1" w:styleId="93">
    <w:name w:val="std-se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94">
    <w:name w:val="btn-std-reset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95">
    <w:name w:val="std-drawer-clo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96">
    <w:name w:val="toas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97">
    <w:name w:val="ck-vbar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8">
    <w:name w:val="query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header-logo"/>
    <w:basedOn w:val="1"/>
    <w:qFormat/>
    <w:uiPriority w:val="0"/>
    <w:pPr>
      <w:jc w:val="left"/>
    </w:pPr>
    <w:rPr>
      <w:b/>
      <w:bCs/>
      <w:color w:val="FFFFFF"/>
      <w:kern w:val="0"/>
      <w:sz w:val="27"/>
      <w:szCs w:val="27"/>
      <w:lang w:val="en-US" w:eastAsia="zh-CN" w:bidi="ar"/>
    </w:rPr>
  </w:style>
  <w:style w:type="paragraph" w:customStyle="1" w:styleId="100">
    <w:name w:val="std-tab-pane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01">
    <w:name w:val="query-toolba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02">
    <w:name w:val="gk-2r-r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3">
    <w:name w:val="dim-na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8"/>
      <w:kern w:val="0"/>
      <w:sz w:val="19"/>
      <w:szCs w:val="19"/>
      <w:lang w:val="en-US" w:eastAsia="zh-CN" w:bidi="ar"/>
    </w:rPr>
  </w:style>
  <w:style w:type="paragraph" w:customStyle="1" w:styleId="104">
    <w:name w:val="cock-companie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05">
    <w:name w:val="std-pa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06">
    <w:name w:val="caliber-tab-sub"/>
    <w:basedOn w:val="1"/>
    <w:qFormat/>
    <w:uiPriority w:val="0"/>
    <w:pPr>
      <w:spacing w:line="21" w:lineRule="atLeast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107">
    <w:name w:val="query-inp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08">
    <w:name w:val="std-form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109">
    <w:name w:val="gk-mcal-tab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0">
    <w:name w:val="btn-std-search"/>
    <w:basedOn w:val="1"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111">
    <w:name w:val="std-form-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12">
    <w:name w:val="kpi-value"/>
    <w:basedOn w:val="1"/>
    <w:qFormat/>
    <w:uiPriority w:val="0"/>
    <w:pPr>
      <w:jc w:val="left"/>
    </w:pPr>
    <w:rPr>
      <w:kern w:val="0"/>
      <w:sz w:val="33"/>
      <w:szCs w:val="33"/>
      <w:lang w:val="en-US" w:eastAsia="zh-CN" w:bidi="ar"/>
    </w:rPr>
  </w:style>
  <w:style w:type="paragraph" w:customStyle="1" w:styleId="113">
    <w:name w:val="kpi-value2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114">
    <w:name w:val="gq-sel-ico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5">
    <w:name w:val="gq-sel-chev"/>
    <w:basedOn w:val="1"/>
    <w:qFormat/>
    <w:uiPriority w:val="0"/>
    <w:pPr>
      <w:jc w:val="left"/>
    </w:pPr>
    <w:rPr>
      <w:color w:val="7D94AD"/>
      <w:kern w:val="0"/>
      <w:sz w:val="16"/>
      <w:szCs w:val="16"/>
      <w:lang w:val="en-US" w:eastAsia="zh-CN" w:bidi="ar"/>
    </w:rPr>
  </w:style>
  <w:style w:type="paragraph" w:customStyle="1" w:styleId="116">
    <w:name w:val="stick-r2"/>
    <w:basedOn w:val="1"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17">
    <w:name w:val="stick-r22"/>
    <w:basedOn w:val="1"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18">
    <w:name w:val="stick-r24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19">
    <w:name w:val="stick-r"/>
    <w:basedOn w:val="1"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20">
    <w:name w:val="stick-r3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21">
    <w:name w:val="stick-r5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22">
    <w:name w:val="gk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3">
    <w:name w:val="ck-gauge-sub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24">
    <w:name w:val="stick-2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5">
    <w:name w:val="stick-3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6">
    <w:name w:val="stick-4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27">
    <w:name w:val="caliber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28">
    <w:name w:val="ck-gauge-val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129">
    <w:name w:val="link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30">
    <w:name w:val="std-form-label"/>
    <w:basedOn w:val="1"/>
    <w:uiPriority w:val="0"/>
    <w:pPr>
      <w:jc w:val="right"/>
    </w:pPr>
    <w:rPr>
      <w:color w:val="4B5563"/>
      <w:kern w:val="0"/>
      <w:sz w:val="19"/>
      <w:szCs w:val="19"/>
      <w:lang w:val="en-US" w:eastAsia="zh-CN" w:bidi="ar"/>
    </w:rPr>
  </w:style>
  <w:style w:type="paragraph" w:customStyle="1" w:styleId="131">
    <w:name w:val="nav-item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 w:line="21" w:lineRule="atLeast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32">
    <w:name w:val="nav-item2"/>
    <w:basedOn w:val="1"/>
    <w:qFormat/>
    <w:uiPriority w:val="0"/>
    <w:pPr>
      <w:pBdr>
        <w:lef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33">
    <w:name w:val="std-tab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5A6B82"/>
      <w:kern w:val="0"/>
      <w:sz w:val="19"/>
      <w:szCs w:val="19"/>
      <w:lang w:val="en-US" w:eastAsia="zh-CN" w:bidi="ar"/>
    </w:rPr>
  </w:style>
  <w:style w:type="paragraph" w:customStyle="1" w:styleId="134">
    <w:name w:val="gk-numblock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5">
    <w:name w:val="gk-numblock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6">
    <w:name w:val="gk-numblock4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7">
    <w:name w:val="kpi-label"/>
    <w:basedOn w:val="1"/>
    <w:uiPriority w:val="0"/>
    <w:pPr>
      <w:spacing w:after="90" w:after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38">
    <w:name w:val="kpi-row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39">
    <w:name w:val="std-ctrl"/>
    <w:basedOn w:val="1"/>
    <w:qFormat/>
    <w:uiPriority w:val="0"/>
    <w:pPr>
      <w:pBdr>
        <w:top w:val="single" w:color="D7DBE0" w:sz="6" w:space="0"/>
        <w:left w:val="single" w:color="D7DBE0" w:sz="6" w:space="9"/>
        <w:bottom w:val="single" w:color="D7DBE0" w:sz="6" w:space="0"/>
        <w:right w:val="single" w:color="D7DBE0" w:sz="6" w:space="9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0">
    <w:name w:val="caliber-tab-name"/>
    <w:basedOn w:val="1"/>
    <w:uiPriority w:val="0"/>
    <w:pPr>
      <w:spacing w:line="21" w:lineRule="atLeast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141">
    <w:name w:val="std-form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2">
    <w:name w:val="std-multi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3">
    <w:name w:val="std-page-dot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4">
    <w:name w:val="std-ms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5">
    <w:name w:val="std-ms-pop"/>
    <w:basedOn w:val="1"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146">
    <w:name w:val="gk-wide-card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147">
    <w:name w:val="gk-wide-card2"/>
    <w:basedOn w:val="1"/>
    <w:qFormat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148">
    <w:name w:val="std-tree-lb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149">
    <w:name w:val="std-tree-lb2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150">
    <w:name w:val="side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1">
    <w:name w:val="std-mai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52">
    <w:name w:val="std-tree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53">
    <w:name w:val="std-tree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54">
    <w:name w:val="panel-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55">
    <w:name w:val="layo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6">
    <w:name w:val="progress-bar"/>
    <w:basedOn w:val="1"/>
    <w:qFormat/>
    <w:uiPriority w:val="0"/>
    <w:pPr>
      <w:shd w:val="clear" w:fill="E5E7EB"/>
      <w:jc w:val="left"/>
    </w:pPr>
    <w:rPr>
      <w:kern w:val="0"/>
      <w:lang w:val="en-US" w:eastAsia="zh-CN" w:bidi="ar"/>
    </w:rPr>
  </w:style>
  <w:style w:type="paragraph" w:customStyle="1" w:styleId="157">
    <w:name w:val="std-tree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58">
    <w:name w:val="std-tree-chev"/>
    <w:basedOn w:val="1"/>
    <w:qFormat/>
    <w:uiPriority w:val="0"/>
    <w:pPr>
      <w:jc w:val="left"/>
    </w:pPr>
    <w:rPr>
      <w:color w:val="8A94A3"/>
      <w:kern w:val="0"/>
      <w:sz w:val="16"/>
      <w:szCs w:val="16"/>
      <w:lang w:val="en-US" w:eastAsia="zh-CN" w:bidi="ar"/>
    </w:rPr>
  </w:style>
  <w:style w:type="paragraph" w:customStyle="1" w:styleId="159">
    <w:name w:val="gq-bar-bg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60">
    <w:name w:val="cat-filter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161">
    <w:name w:val="std-tree-ro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2">
    <w:name w:val="std-overla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63">
    <w:name w:val="gk-wide-head"/>
    <w:basedOn w:val="1"/>
    <w:qFormat/>
    <w:uiPriority w:val="0"/>
    <w:pPr>
      <w:spacing w:after="30" w:afterAutospacing="0"/>
      <w:jc w:val="left"/>
    </w:pPr>
    <w:rPr>
      <w:kern w:val="0"/>
      <w:lang w:val="en-US" w:eastAsia="zh-CN" w:bidi="ar"/>
    </w:rPr>
  </w:style>
  <w:style w:type="paragraph" w:customStyle="1" w:styleId="164">
    <w:name w:val="btn-std"/>
    <w:basedOn w:val="1"/>
    <w:qFormat/>
    <w:uiPriority w:val="0"/>
    <w:pPr>
      <w:jc w:val="left"/>
    </w:pPr>
    <w:rPr>
      <w:spacing w:val="45"/>
      <w:kern w:val="0"/>
      <w:sz w:val="21"/>
      <w:szCs w:val="21"/>
      <w:lang w:val="en-US" w:eastAsia="zh-CN" w:bidi="ar"/>
    </w:rPr>
  </w:style>
  <w:style w:type="paragraph" w:customStyle="1" w:styleId="165">
    <w:name w:val="query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66">
    <w:name w:val="std-bad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67">
    <w:name w:val="collapse-hint"/>
    <w:basedOn w:val="1"/>
    <w:qFormat/>
    <w:uiPriority w:val="0"/>
    <w:pPr>
      <w:ind w:left="0"/>
      <w:jc w:val="left"/>
    </w:pPr>
    <w:rPr>
      <w:color w:val="9CA3AF"/>
      <w:kern w:val="0"/>
      <w:sz w:val="16"/>
      <w:szCs w:val="16"/>
      <w:lang w:val="en-US" w:eastAsia="zh-CN" w:bidi="ar"/>
    </w:rPr>
  </w:style>
  <w:style w:type="paragraph" w:customStyle="1" w:styleId="168">
    <w:name w:val="std-pager-bt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69">
    <w:name w:val="std-status"/>
    <w:basedOn w:val="1"/>
    <w:qFormat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70">
    <w:name w:val="fz-select-op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9"/>
      <w:szCs w:val="19"/>
      <w:lang w:val="en-US" w:eastAsia="zh-CN" w:bidi="ar"/>
    </w:rPr>
  </w:style>
  <w:style w:type="paragraph" w:customStyle="1" w:styleId="171">
    <w:name w:val="std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72">
    <w:name w:val="std-pager"/>
    <w:basedOn w:val="1"/>
    <w:uiPriority w:val="0"/>
    <w:pPr>
      <w:spacing w:before="210" w:beforeAutospacing="0"/>
      <w:jc w:val="left"/>
    </w:pPr>
    <w:rPr>
      <w:kern w:val="0"/>
      <w:lang w:val="en-US" w:eastAsia="zh-CN" w:bidi="ar"/>
    </w:rPr>
  </w:style>
  <w:style w:type="paragraph" w:customStyle="1" w:styleId="173">
    <w:name w:val="nav-group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" w:afterAutospacing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74">
    <w:name w:val="sheet-panel"/>
    <w:basedOn w:val="1"/>
    <w:qFormat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5">
    <w:name w:val="std-drawer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76">
    <w:name w:val="gk-2r-r"/>
    <w:basedOn w:val="1"/>
    <w:qFormat/>
    <w:uiPriority w:val="0"/>
    <w:pPr>
      <w:jc w:val="left"/>
    </w:pPr>
    <w:rPr>
      <w:kern w:val="0"/>
      <w:sz w:val="16"/>
      <w:szCs w:val="16"/>
      <w:lang w:val="en-US" w:eastAsia="zh-CN" w:bidi="ar"/>
    </w:rPr>
  </w:style>
  <w:style w:type="paragraph" w:customStyle="1" w:styleId="177">
    <w:name w:val="std-drawer-code"/>
    <w:basedOn w:val="1"/>
    <w:uiPriority w:val="0"/>
    <w:pPr>
      <w:spacing w:before="90" w:beforeAutospacing="0"/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customStyle="1" w:styleId="178">
    <w:name w:val="gk-strip"/>
    <w:basedOn w:val="1"/>
    <w:qFormat/>
    <w:uiPriority w:val="0"/>
    <w:pPr>
      <w:pBdr>
        <w:top w:val="single" w:color="D8EAFB" w:sz="6" w:space="6"/>
        <w:left w:val="single" w:color="D8EAFB" w:sz="6" w:space="9"/>
        <w:bottom w:val="single" w:color="D8EAFB" w:sz="6" w:space="6"/>
        <w:right w:val="single" w:color="D8EAFB" w:sz="6" w:space="9"/>
      </w:pBdr>
      <w:shd w:val="clear" w:fill="F4FAFF"/>
      <w:spacing w:before="210" w:beforeAutospacing="0" w:after="180" w:afterAutospacing="0"/>
      <w:ind w:left="0" w:right="0"/>
      <w:jc w:val="left"/>
    </w:pPr>
    <w:rPr>
      <w:b/>
      <w:bCs/>
      <w:spacing w:val="30"/>
      <w:kern w:val="0"/>
      <w:sz w:val="22"/>
      <w:szCs w:val="22"/>
      <w:lang w:val="en-US" w:eastAsia="zh-CN" w:bidi="ar"/>
    </w:rPr>
  </w:style>
  <w:style w:type="paragraph" w:customStyle="1" w:styleId="179">
    <w:name w:val="std-drawer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80">
    <w:name w:val="gk-info"/>
    <w:basedOn w:val="1"/>
    <w:qFormat/>
    <w:uiPriority w:val="0"/>
    <w:pPr>
      <w:ind w:left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181">
    <w:name w:val="std-group"/>
    <w:basedOn w:val="1"/>
    <w:qFormat/>
    <w:uiPriority w:val="0"/>
    <w:pPr>
      <w:spacing w:after="270" w:afterAutospacing="0"/>
      <w:jc w:val="left"/>
    </w:pPr>
    <w:rPr>
      <w:kern w:val="0"/>
      <w:lang w:val="en-US" w:eastAsia="zh-CN" w:bidi="ar"/>
    </w:rPr>
  </w:style>
  <w:style w:type="paragraph" w:customStyle="1" w:styleId="182">
    <w:name w:val="std-group-title"/>
    <w:basedOn w:val="1"/>
    <w:qFormat/>
    <w:uiPriority w:val="0"/>
    <w:pPr>
      <w:pBdr>
        <w:left w:val="none" w:color="auto" w:sz="0" w:space="0"/>
      </w:pBdr>
      <w:spacing w:after="9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183">
    <w:name w:val="nav-par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/>
      <w:jc w:val="left"/>
    </w:pPr>
    <w:rPr>
      <w:b/>
      <w:bCs/>
      <w:spacing w:val="15"/>
      <w:kern w:val="0"/>
      <w:sz w:val="20"/>
      <w:szCs w:val="20"/>
      <w:lang w:val="en-US" w:eastAsia="zh-CN" w:bidi="ar"/>
    </w:rPr>
  </w:style>
  <w:style w:type="paragraph" w:customStyle="1" w:styleId="184">
    <w:name w:val="progress-bar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85">
    <w:name w:val="nav-children"/>
    <w:basedOn w:val="1"/>
    <w:qFormat/>
    <w:uiPriority w:val="0"/>
    <w:pPr>
      <w:pBdr>
        <w:lef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186">
    <w:name w:val="dim-dash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30"/>
      <w:kern w:val="0"/>
      <w:lang w:val="en-US" w:eastAsia="zh-CN" w:bidi="ar"/>
    </w:rPr>
  </w:style>
  <w:style w:type="paragraph" w:customStyle="1" w:styleId="187">
    <w:name w:val="nav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B0B6BF"/>
      <w:kern w:val="0"/>
      <w:sz w:val="16"/>
      <w:szCs w:val="16"/>
      <w:lang w:val="en-US" w:eastAsia="zh-CN" w:bidi="ar"/>
    </w:rPr>
  </w:style>
  <w:style w:type="paragraph" w:customStyle="1" w:styleId="188">
    <w:name w:val="cont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89">
    <w:name w:val="kpi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0">
    <w:name w:val="tsub-ico"/>
    <w:basedOn w:val="1"/>
    <w:qFormat/>
    <w:uiPriority w:val="0"/>
    <w:pPr>
      <w:pBdr>
        <w:top w:val="single" w:color="D8EAFB" w:sz="6" w:space="0"/>
        <w:left w:val="single" w:color="D8EAFB" w:sz="6" w:space="0"/>
        <w:bottom w:val="single" w:color="D8EAFB" w:sz="6" w:space="0"/>
        <w:right w:val="single" w:color="D8EAFB" w:sz="6" w:space="0"/>
      </w:pBdr>
      <w:shd w:val="clear" w:fill="EAF4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91">
    <w:name w:val="panel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2">
    <w:name w:val="query-freq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93">
    <w:name w:val="query-freq-valu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3FA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94">
    <w:name w:val="y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95">
    <w:name w:val="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96">
    <w:name w:val="ym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kern w:val="0"/>
      <w:sz w:val="20"/>
      <w:szCs w:val="20"/>
      <w:lang w:val="en-US" w:eastAsia="zh-CN" w:bidi="ar"/>
    </w:rPr>
  </w:style>
  <w:style w:type="paragraph" w:customStyle="1" w:styleId="197">
    <w:name w:val="fz-selec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8">
    <w:name w:val="fz-select-list"/>
    <w:basedOn w:val="1"/>
    <w:qFormat/>
    <w:uiPriority w:val="0"/>
    <w:pPr>
      <w:pBdr>
        <w:top w:val="single" w:color="CFE0F4" w:sz="6" w:space="3"/>
        <w:left w:val="single" w:color="CFE0F4" w:sz="6" w:space="3"/>
        <w:bottom w:val="single" w:color="CFE0F4" w:sz="6" w:space="3"/>
        <w:right w:val="single" w:color="CFE0F4" w:sz="6" w:space="3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199">
    <w:name w:val="cock-compan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200">
    <w:name w:val="cock-company-head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201">
    <w:name w:val="cock-group-title"/>
    <w:basedOn w:val="1"/>
    <w:uiPriority w:val="0"/>
    <w:pPr>
      <w:pBdr>
        <w:left w:val="none" w:color="auto" w:sz="0" w:space="0"/>
      </w:pBdr>
      <w:spacing w:before="150" w:beforeAutospacing="0" w:after="90" w:afterAutospacing="0"/>
      <w:ind w:left="0" w:right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202">
    <w:name w:val="chart-title"/>
    <w:basedOn w:val="1"/>
    <w:qFormat/>
    <w:uiPriority w:val="0"/>
    <w:pP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203">
    <w:name w:val="ck-bar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204">
    <w:name w:val="ck-leg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5">
    <w:name w:val="ck-vba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6">
    <w:name w:val="gk-2r-l&gt;span"/>
    <w:basedOn w:val="1"/>
    <w:qFormat/>
    <w:uiPriority w:val="0"/>
    <w:pPr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207">
    <w:name w:val="ck-vbar-col"/>
    <w:basedOn w:val="1"/>
    <w:qFormat/>
    <w:uiPriority w:val="0"/>
    <w:pPr>
      <w:spacing w:before="0" w:beforeAutospacing="1"/>
      <w:jc w:val="left"/>
    </w:pPr>
    <w:rPr>
      <w:kern w:val="0"/>
      <w:lang w:val="en-US" w:eastAsia="zh-CN" w:bidi="ar"/>
    </w:rPr>
  </w:style>
  <w:style w:type="paragraph" w:customStyle="1" w:styleId="208">
    <w:name w:val="ck-gauge"/>
    <w:basedOn w:val="1"/>
    <w:qFormat/>
    <w:uiPriority w:val="0"/>
    <w:pPr>
      <w:jc w:val="center"/>
    </w:pPr>
    <w:rPr>
      <w:kern w:val="0"/>
      <w:lang w:val="en-US" w:eastAsia="zh-CN" w:bidi="ar"/>
    </w:rPr>
  </w:style>
  <w:style w:type="paragraph" w:customStyle="1" w:styleId="209">
    <w:name w:val="ck-trend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0">
    <w:name w:val="gq-fil-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1">
    <w:name w:val="gq-fi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2">
    <w:name w:val="gk-t12-cap"/>
    <w:basedOn w:val="1"/>
    <w:qFormat/>
    <w:uiPriority w:val="0"/>
    <w:pPr>
      <w:pBdr>
        <w:top w:val="dashed" w:color="E4EEFB" w:sz="6" w:space="5"/>
      </w:pBdr>
      <w:spacing w:after="60" w:afterAutospacing="0"/>
      <w:jc w:val="left"/>
    </w:pPr>
    <w:rPr>
      <w:color w:val="8AA2BD"/>
      <w:spacing w:val="15"/>
      <w:kern w:val="0"/>
      <w:sz w:val="15"/>
      <w:szCs w:val="15"/>
      <w:lang w:val="en-US" w:eastAsia="zh-CN" w:bidi="ar"/>
    </w:rPr>
  </w:style>
  <w:style w:type="paragraph" w:customStyle="1" w:styleId="213">
    <w:name w:val="gq-sel"/>
    <w:basedOn w:val="1"/>
    <w:qFormat/>
    <w:uiPriority w:val="0"/>
    <w:pPr>
      <w:pBdr>
        <w:top w:val="single" w:color="CFE0F4" w:sz="6" w:space="4"/>
        <w:left w:val="single" w:color="CFE0F4" w:sz="6" w:space="7"/>
        <w:bottom w:val="single" w:color="CFE0F4" w:sz="6" w:space="4"/>
        <w:right w:val="single" w:color="CFE0F4" w:sz="6" w:space="7"/>
      </w:pBdr>
      <w:shd w:val="clear" w:fill="FFFFFF"/>
      <w:jc w:val="left"/>
    </w:pPr>
    <w:rPr>
      <w:b/>
      <w:bCs/>
      <w:color w:val="33475F"/>
      <w:kern w:val="0"/>
      <w:sz w:val="19"/>
      <w:szCs w:val="19"/>
      <w:lang w:val="en-US" w:eastAsia="zh-CN" w:bidi="ar"/>
    </w:rPr>
  </w:style>
  <w:style w:type="paragraph" w:customStyle="1" w:styleId="214">
    <w:name w:val="gq-titl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5">
    <w:name w:val="fz-select-name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216">
    <w:name w:val="topnav-dro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7">
    <w:name w:val="topnav-chev"/>
    <w:basedOn w:val="1"/>
    <w:qFormat/>
    <w:uiPriority w:val="0"/>
    <w:pPr>
      <w:ind w:left="75"/>
      <w:jc w:val="left"/>
    </w:pPr>
    <w:rPr>
      <w:kern w:val="0"/>
      <w:sz w:val="15"/>
      <w:szCs w:val="15"/>
      <w:lang w:val="en-US" w:eastAsia="zh-CN" w:bidi="ar"/>
    </w:rPr>
  </w:style>
  <w:style w:type="paragraph" w:customStyle="1" w:styleId="218">
    <w:name w:val="topnav-sub-cap"/>
    <w:basedOn w:val="1"/>
    <w:qFormat/>
    <w:uiPriority w:val="0"/>
    <w:pPr>
      <w:pBdr>
        <w:top w:val="none" w:color="auto" w:sz="0" w:space="0"/>
        <w:left w:val="none" w:color="auto" w:sz="0" w:space="0"/>
        <w:bottom w:val="dashed" w:color="DCEAFA" w:sz="6" w:space="5"/>
        <w:right w:val="none" w:color="auto" w:sz="0" w:space="0"/>
      </w:pBdr>
      <w:spacing w:after="90" w:afterAutospacing="0"/>
      <w:jc w:val="left"/>
    </w:pPr>
    <w:rPr>
      <w:color w:val="8AA2BD"/>
      <w:spacing w:val="30"/>
      <w:kern w:val="0"/>
      <w:sz w:val="15"/>
      <w:szCs w:val="15"/>
      <w:lang w:val="en-US" w:eastAsia="zh-CN" w:bidi="ar"/>
    </w:rPr>
  </w:style>
  <w:style w:type="paragraph" w:customStyle="1" w:styleId="219">
    <w:name w:val="topnav-sub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8"/>
      <w:szCs w:val="18"/>
      <w:lang w:val="en-US" w:eastAsia="zh-CN" w:bidi="ar"/>
    </w:rPr>
  </w:style>
  <w:style w:type="paragraph" w:customStyle="1" w:styleId="220">
    <w:name w:val="gk-strip-sep"/>
    <w:basedOn w:val="1"/>
    <w:qFormat/>
    <w:uiPriority w:val="0"/>
    <w:pPr>
      <w:shd w:val="clear" w:fill="A8D4F5"/>
      <w:jc w:val="left"/>
    </w:pPr>
    <w:rPr>
      <w:kern w:val="0"/>
      <w:lang w:val="en-US" w:eastAsia="zh-CN" w:bidi="ar"/>
    </w:rPr>
  </w:style>
  <w:style w:type="paragraph" w:customStyle="1" w:styleId="221">
    <w:name w:val="kpi-unit"/>
    <w:basedOn w:val="1"/>
    <w:qFormat/>
    <w:uiPriority w:val="0"/>
    <w:pPr>
      <w:ind w:left="150"/>
      <w:jc w:val="left"/>
    </w:pPr>
    <w:rPr>
      <w:spacing w:val="8"/>
      <w:kern w:val="0"/>
      <w:sz w:val="18"/>
      <w:szCs w:val="18"/>
      <w:lang w:val="en-US" w:eastAsia="zh-CN" w:bidi="ar"/>
    </w:rPr>
  </w:style>
  <w:style w:type="paragraph" w:customStyle="1" w:styleId="222">
    <w:name w:val="fz-company-vie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3">
    <w:name w:val="gk-row"/>
    <w:basedOn w:val="1"/>
    <w:uiPriority w:val="0"/>
    <w:pPr>
      <w:spacing w:after="60" w:afterAutospacing="0"/>
      <w:jc w:val="left"/>
    </w:pPr>
    <w:rPr>
      <w:kern w:val="0"/>
      <w:lang w:val="en-US" w:eastAsia="zh-CN" w:bidi="ar"/>
    </w:rPr>
  </w:style>
  <w:style w:type="paragraph" w:customStyle="1" w:styleId="224">
    <w:name w:val="gk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225">
    <w:name w:val="gk-tip"/>
    <w:basedOn w:val="1"/>
    <w:qFormat/>
    <w:uiPriority w:val="0"/>
    <w:pPr>
      <w:spacing w:line="15" w:lineRule="atLeast"/>
      <w:ind w:left="90"/>
      <w:jc w:val="left"/>
      <w:textAlignment w:val="auto"/>
    </w:pPr>
    <w:rPr>
      <w:b/>
      <w:bCs/>
      <w:color w:val="FFFFFF"/>
      <w:kern w:val="0"/>
      <w:sz w:val="15"/>
      <w:szCs w:val="15"/>
      <w:lang w:val="en-US" w:eastAsia="zh-CN" w:bidi="ar"/>
    </w:rPr>
  </w:style>
  <w:style w:type="paragraph" w:customStyle="1" w:styleId="226">
    <w:name w:val="gk-trend1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7">
    <w:name w:val="gk-mcal-tab"/>
    <w:basedOn w:val="1"/>
    <w:qFormat/>
    <w:uiPriority w:val="0"/>
    <w:pPr>
      <w:pBdr>
        <w:top w:val="single" w:color="CFE0F4" w:sz="6" w:space="2"/>
        <w:left w:val="single" w:color="CFE0F4" w:sz="6" w:space="8"/>
        <w:bottom w:val="single" w:color="CFE0F4" w:sz="6" w:space="2"/>
        <w:right w:val="single" w:color="CFE0F4" w:sz="6" w:space="8"/>
      </w:pBdr>
      <w:shd w:val="clear" w:fill="F4F9FF"/>
      <w:jc w:val="left"/>
    </w:pPr>
    <w:rPr>
      <w:b/>
      <w:bCs/>
      <w:color w:val="51708F"/>
      <w:spacing w:val="8"/>
      <w:kern w:val="0"/>
      <w:sz w:val="15"/>
      <w:szCs w:val="15"/>
      <w:lang w:val="en-US" w:eastAsia="zh-CN" w:bidi="ar"/>
    </w:rPr>
  </w:style>
  <w:style w:type="paragraph" w:customStyle="1" w:styleId="228">
    <w:name w:val="gk-wide-lef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9">
    <w:name w:val="gk-stat"/>
    <w:basedOn w:val="1"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30">
    <w:name w:val="gk-stat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1">
    <w:name w:val="gk-stat&gt;span2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2">
    <w:name w:val="gk-sta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3">
    <w:name w:val="gk-stats2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4">
    <w:name w:val="gk-wide-char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5">
    <w:name w:val="ll"/>
    <w:basedOn w:val="1"/>
    <w:qFormat/>
    <w:uiPriority w:val="0"/>
    <w:pPr>
      <w:pBdr>
        <w:top w:val="single" w:color="2F9BF2" w:sz="12" w:space="0"/>
        <w:left w:val="single" w:color="2F9BF2" w:sz="12" w:space="0"/>
        <w:bottom w:val="single" w:color="2F9BF2" w:sz="12" w:space="0"/>
        <w:right w:val="single" w:color="2F9BF2" w:sz="12" w:space="0"/>
      </w:pBdr>
      <w:shd w:val="clear" w:fill="FFFFFF"/>
      <w:ind w:right="75"/>
      <w:jc w:val="left"/>
    </w:pPr>
    <w:rPr>
      <w:kern w:val="0"/>
      <w:lang w:val="en-US" w:eastAsia="zh-CN" w:bidi="ar"/>
    </w:rPr>
  </w:style>
  <w:style w:type="paragraph" w:customStyle="1" w:styleId="236">
    <w:name w:val="gk-t12-hove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7">
    <w:name w:val="gk-2r-lin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8">
    <w:name w:val="gk-2r-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9">
    <w:name w:val="gk-mcal-bod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0">
    <w:name w:val="gk-caltab"/>
    <w:basedOn w:val="1"/>
    <w:qFormat/>
    <w:uiPriority w:val="0"/>
    <w:pPr>
      <w:pBdr>
        <w:top w:val="single" w:color="B9D7F5" w:sz="6" w:space="4"/>
        <w:left w:val="single" w:color="B9D7F5" w:sz="6" w:space="10"/>
        <w:bottom w:val="single" w:color="B9D7F5" w:sz="6" w:space="4"/>
        <w:right w:val="single" w:color="B9D7F5" w:sz="6" w:space="10"/>
      </w:pBdr>
      <w:shd w:val="clear" w:fill="FFFFFF"/>
      <w:jc w:val="left"/>
    </w:pPr>
    <w:rPr>
      <w:b/>
      <w:bCs/>
      <w:color w:val="33475F"/>
      <w:spacing w:val="8"/>
      <w:kern w:val="0"/>
      <w:sz w:val="18"/>
      <w:szCs w:val="18"/>
      <w:lang w:val="en-US" w:eastAsia="zh-CN" w:bidi="ar"/>
    </w:rPr>
  </w:style>
  <w:style w:type="paragraph" w:customStyle="1" w:styleId="241">
    <w:name w:val="gk-table-sec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42">
    <w:name w:val="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3">
    <w:name w:val="kpi-trend-row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244">
    <w:name w:val="kpi-trend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5">
    <w:name w:val="collapse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246">
    <w:name w:val="delta-arrow"/>
    <w:basedOn w:val="1"/>
    <w:qFormat/>
    <w:uiPriority w:val="0"/>
    <w:pPr>
      <w:spacing w:line="15" w:lineRule="atLeast"/>
      <w:ind w:right="45"/>
      <w:jc w:val="left"/>
    </w:pPr>
    <w:rPr>
      <w:rFonts w:ascii="Arial" w:hAnsi="Arial" w:cs="Arial"/>
      <w:kern w:val="0"/>
      <w:sz w:val="13"/>
      <w:szCs w:val="13"/>
      <w:lang w:val="en-US" w:eastAsia="zh-CN" w:bidi="ar"/>
    </w:rPr>
  </w:style>
  <w:style w:type="paragraph" w:customStyle="1" w:styleId="247">
    <w:name w:val="progress-text"/>
    <w:basedOn w:val="1"/>
    <w:qFormat/>
    <w:uiPriority w:val="0"/>
    <w:pPr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248">
    <w:name w:val="caliber-tab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49">
    <w:name w:val="caliber-pane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50">
    <w:name w:val="cat-filte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51">
    <w:name w:val="cat-filter-label"/>
    <w:basedOn w:val="1"/>
    <w:qFormat/>
    <w:uiPriority w:val="0"/>
    <w:pPr>
      <w:jc w:val="left"/>
    </w:pPr>
    <w:rPr>
      <w:b/>
      <w:bCs/>
      <w:kern w:val="0"/>
      <w:sz w:val="19"/>
      <w:szCs w:val="19"/>
      <w:lang w:val="en-US" w:eastAsia="zh-CN" w:bidi="ar"/>
    </w:rPr>
  </w:style>
  <w:style w:type="character" w:customStyle="1" w:styleId="252">
    <w:name w:val="ph1"/>
    <w:basedOn w:val="15"/>
    <w:qFormat/>
    <w:uiPriority w:val="0"/>
    <w:rPr>
      <w:rFonts w:ascii="黑体" w:hAnsi="宋体" w:eastAsia="黑体" w:cs="黑体"/>
      <w:b/>
      <w:bCs/>
      <w:color w:val="000000"/>
      <w:spacing w:val="0"/>
    </w:rPr>
  </w:style>
  <w:style w:type="character" w:customStyle="1" w:styleId="253">
    <w:name w:val="cnt7"/>
    <w:basedOn w:val="15"/>
    <w:qFormat/>
    <w:uiPriority w:val="0"/>
    <w:rPr>
      <w:color w:val="808080"/>
      <w:sz w:val="20"/>
      <w:szCs w:val="20"/>
    </w:rPr>
  </w:style>
  <w:style w:type="character" w:customStyle="1" w:styleId="254">
    <w:name w:val="hl-exp1"/>
    <w:basedOn w:val="15"/>
    <w:qFormat/>
    <w:uiPriority w:val="0"/>
    <w:rPr>
      <w:b/>
      <w:bCs/>
      <w:color w:val="000000"/>
      <w:shd w:val="clear" w:fill="FFE9B3"/>
    </w:rPr>
  </w:style>
  <w:style w:type="character" w:customStyle="1" w:styleId="255">
    <w:name w:val="xmark1"/>
    <w:basedOn w:val="15"/>
    <w:qFormat/>
    <w:uiPriority w:val="0"/>
    <w:rPr>
      <w:b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7557</Words>
  <Characters>8335</Characters>
  <TotalTime>3</TotalTime>
  <ScaleCrop>false</ScaleCrop>
  <LinksUpToDate>false</LinksUpToDate>
  <CharactersWithSpaces>8688</CharactersWithSpaces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2026-10-12T05:53:00Z</dcterms:created>
  <dc:creator>ex-liaox003</dc:creator>
  <cp:lastModifiedBy>ex-liaox003</cp:lastModifiedBy>
  <dcterms:modified xsi:type="dcterms:W3CDTF">2026-10-12T06:25:16Z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75916D7A314845E79405087217493CBF_13</vt:lpwstr>
  </property>
</Properties>
</file>