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071638E">
      <w:pPr>
        <w:pStyle w:val="13"/>
        <w:keepNext w:val="0"/>
        <w:keepLines w:val="0"/>
        <w:widowControl/>
        <w:suppressLineNumbers w:val="0"/>
        <w:spacing w:before="340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sz w:val="52"/>
          <w:szCs w:val="52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华润银行模块</w:t>
      </w:r>
    </w:p>
    <w:p w14:paraId="1B095BF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32"/>
          <w:szCs w:val="32"/>
          <w:shd w:val="clear" w:fill="FFFFFF"/>
        </w:rPr>
      </w:pP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t>数据应用需求文档</w:t>
      </w:r>
      <w:r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32"/>
          <w:szCs w:val="32"/>
          <w:lang w:val="en-US" w:eastAsia="zh-CN"/>
        </w:rPr>
        <w:t>(固定报表管理、报表台账管理)</w:t>
      </w:r>
    </w:p>
    <w:p w14:paraId="3D5E8201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jc w:val="center"/>
        <w:rPr>
          <w:rFonts w:hint="eastAsia" w:ascii="黑体" w:hAnsi="宋体" w:eastAsia="黑体" w:cs="黑体"/>
          <w:b/>
          <w:bCs/>
          <w:color w:val="000000"/>
          <w:sz w:val="52"/>
          <w:szCs w:val="52"/>
          <w:shd w:val="clear" w:fill="FFFFFF"/>
        </w:rPr>
      </w:pPr>
    </w:p>
    <w:p w14:paraId="0E142878">
      <w:pPr>
        <w:spacing w:before="200" w:after="160"/>
        <w:ind w:firstLine="640" w:firstLineChars="20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修订历史记录</w:t>
      </w:r>
    </w:p>
    <w:tbl>
      <w:tblPr>
        <w:tblStyle w:val="14"/>
        <w:tblW w:w="498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3"/>
        <w:gridCol w:w="1803"/>
        <w:gridCol w:w="1803"/>
        <w:gridCol w:w="2452"/>
        <w:gridCol w:w="1153"/>
      </w:tblGrid>
      <w:tr w14:paraId="15A0C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A9BBCA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版本号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62369DE1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修订日期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18D993D7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修订人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2096FB77">
            <w:pPr>
              <w:spacing w:before="40" w:after="40"/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修订内容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E8ECF1"/>
            <w:vAlign w:val="center"/>
          </w:tcPr>
          <w:p w14:paraId="79382290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0"/>
                <w:szCs w:val="20"/>
              </w:rPr>
              <w:t>审核人</w:t>
            </w:r>
          </w:p>
        </w:tc>
      </w:tr>
      <w:tr w14:paraId="5E6A2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9DDFBD6">
            <w:pPr>
              <w:spacing w:before="40" w:after="4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V1.0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1C34463">
            <w:pPr>
              <w:spacing w:before="40" w:after="4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2026-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10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0"/>
                <w:szCs w:val="20"/>
              </w:rPr>
              <w:t>-0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9</w:t>
            </w:r>
          </w:p>
        </w:tc>
        <w:tc>
          <w:tcPr>
            <w:tcW w:w="180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5BAC4124">
            <w:pPr>
              <w:spacing w:before="40" w:after="40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廖霞</w:t>
            </w:r>
          </w:p>
        </w:tc>
        <w:tc>
          <w:tcPr>
            <w:tcW w:w="245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65FCFCA8">
            <w:pPr>
              <w:spacing w:before="40" w:after="40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0"/>
                <w:szCs w:val="20"/>
                <w:lang w:val="en-US" w:eastAsia="zh-CN"/>
              </w:rPr>
              <w:t>初始版本</w:t>
            </w:r>
          </w:p>
        </w:tc>
        <w:tc>
          <w:tcPr>
            <w:tcW w:w="1153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vAlign w:val="center"/>
          </w:tcPr>
          <w:p w14:paraId="7B13FC7D">
            <w:pPr>
              <w:spacing w:before="40" w:after="40"/>
              <w:jc w:val="center"/>
            </w:pPr>
          </w:p>
        </w:tc>
      </w:tr>
    </w:tbl>
    <w:p w14:paraId="27BC1955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8F5AA1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B9460A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E13129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7D1D1F0D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F0CD466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361A31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B3666C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6F2AB90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7DD6CAE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19C57043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193F325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D809E4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AF3495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0B87B81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399A28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96E9B9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4AB104C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6112637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A63EAC9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</w:pPr>
    </w:p>
    <w:p w14:paraId="3759044F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 </w:t>
      </w:r>
    </w:p>
    <w:p w14:paraId="4E79A813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0" w:name="_Toc27620"/>
      <w:r>
        <w:rPr>
          <w:shd w:val="clear" w:fill="FFFFFF"/>
        </w:rPr>
        <w:t>一、引言</w:t>
      </w:r>
      <w:bookmarkEnd w:id="0"/>
    </w:p>
    <w:p w14:paraId="54DD159A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shd w:val="clear" w:fill="FFFFFF"/>
        </w:rPr>
      </w:pPr>
      <w:bookmarkStart w:id="1" w:name="_Toc21794"/>
      <w:r>
        <w:rPr>
          <w:shd w:val="clear" w:fill="FFFFFF"/>
        </w:rPr>
        <w:t>1、需求背景</w:t>
      </w:r>
      <w:bookmarkEnd w:id="1"/>
    </w:p>
    <w:p w14:paraId="1E0F182E"/>
    <w:p w14:paraId="21C0DDBD">
      <w:pPr>
        <w:keepNext w:val="0"/>
        <w:keepLines w:val="0"/>
        <w:widowControl/>
        <w:suppressLineNumbers w:val="0"/>
        <w:ind w:left="0" w:firstLine="4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金控集团战略部推进指标体系数据化应用，在金控指标体系之上建设「数据应用」，以「固定报表管理、报表台账管理」模块将各业务板块指标体系固化为线上报表，替代线下 Excel 报送与查阅，实现指标展示口径的统一与实时化。</w:t>
      </w:r>
    </w:p>
    <w:p w14:paraId="47C0AA8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eastAsia="zh-CN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本文档为平台</w:t>
      </w:r>
      <w:r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华润银行模块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的需求说明：围绕 9 张固定报表，定义页面框架、指标清单、层级与标签、展示与取值规则，作为开发实现与业务核对的依据。文档中指标名称、单位、层级与列结构均与指标体系梳理结果一致。</w:t>
      </w:r>
    </w:p>
    <w:p w14:paraId="548C305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eastAsia="zh-CN"/>
        </w:rPr>
      </w:pPr>
    </w:p>
    <w:p w14:paraId="2065EEC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2" w:name="_Toc11318"/>
      <w:r>
        <w:rPr>
          <w:shd w:val="clear" w:fill="FFFFFF"/>
        </w:rPr>
        <w:t>2、术语与定义</w:t>
      </w:r>
      <w:bookmarkEnd w:id="2"/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399"/>
        <w:gridCol w:w="6897"/>
      </w:tblGrid>
      <w:tr w14:paraId="22E90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29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0041C7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术语/列名</w:t>
            </w:r>
          </w:p>
        </w:tc>
        <w:tc>
          <w:tcPr>
            <w:tcW w:w="3709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5BEB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口径说明</w:t>
            </w:r>
          </w:p>
        </w:tc>
      </w:tr>
      <w:tr w14:paraId="2D2D7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C395A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去年末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6D373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上一自然年年末值</w:t>
            </w:r>
          </w:p>
        </w:tc>
      </w:tr>
      <w:tr w14:paraId="4CCA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C643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当月值-实际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773A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当月单月发生数（流量指标）；时点/比率类指标不适用时置 --</w:t>
            </w:r>
          </w:p>
        </w:tc>
      </w:tr>
      <w:tr w14:paraId="4E202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812D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当月值-环比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332F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当月较上月变动幅度（%）；比率类为百分点差（ppt）</w:t>
            </w:r>
          </w:p>
        </w:tc>
      </w:tr>
      <w:tr w14:paraId="55E8F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D63F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截止本月末-实际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9A60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本月末时点数（存量）或本年累计发生数（流量），以各指标口径为准</w:t>
            </w:r>
          </w:p>
        </w:tc>
      </w:tr>
      <w:tr w14:paraId="764D1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C0F5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同比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2197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较上年同期变动幅度（%）；比率类指标为百分点差（ppt）</w:t>
            </w:r>
          </w:p>
        </w:tc>
      </w:tr>
      <w:tr w14:paraId="042A5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D691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较年初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0F38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较去年末变动幅度（%）；比率类为 ppt；部分报表已按需求删除/隐藏该列</w:t>
            </w:r>
          </w:p>
        </w:tc>
      </w:tr>
      <w:tr w14:paraId="17AEB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F7C3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全年预算 / 预算达成率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851E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全年预算来源于业务在通用报送平台的维护数据；达成率 =（截止本月末实际 ÷ 全年预算）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eastAsia="zh-CN"/>
              </w:rPr>
              <w:t>×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100%（含进度条分色：≥95% 绿、85~95 黄、&lt;85% 红）；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净增量口径例外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：公司有效客户数、基石客户、产融协同客户数、代发客户数、零售高净值客户数 =（截止本月末实际 − 上一年度年末实际）÷ 全年预算 </w:t>
            </w:r>
            <w:r>
              <w:rPr>
                <w:rFonts w:hint="eastAsia" w:ascii="宋体" w:hAnsi="宋体" w:eastAsia="宋体" w:cs="宋体"/>
                <w:color w:val="FF0000"/>
                <w:sz w:val="18"/>
                <w:szCs w:val="18"/>
                <w:lang w:eastAsia="zh-CN"/>
              </w:rPr>
              <w:t>×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 xml:space="preserve"> 100%</w:t>
            </w:r>
          </w:p>
        </w:tc>
      </w:tr>
      <w:tr w14:paraId="4E2A4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80E8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考核指标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56A5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纳入绩效考核的指标，蓝色标签；唯一有权显示预算/达成率的行</w:t>
            </w:r>
          </w:p>
        </w:tc>
      </w:tr>
      <w:tr w14:paraId="28BAB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A5CED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高质量指标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5EB3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高质量发展监测指标，绿色标签；可与考核指标双标签并存</w:t>
            </w:r>
          </w:p>
        </w:tc>
      </w:tr>
      <w:tr w14:paraId="0A96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E9B8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监管要求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4949B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监管红线阈值（03 表专用列，如 ≥100%、≥10.5%）</w:t>
            </w:r>
          </w:p>
        </w:tc>
      </w:tr>
      <w:tr w14:paraId="0C21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3AB9C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ppt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7294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percentage point，百分点：两个百分比数值的算术差（如 4.35%→4.10% 为 -0.25ppt）</w:t>
            </w:r>
          </w:p>
        </w:tc>
      </w:tr>
      <w:tr w14:paraId="4C856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29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8956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N/A 与 --</w:t>
            </w:r>
          </w:p>
        </w:tc>
        <w:tc>
          <w:tcPr>
            <w:tcW w:w="3709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DA58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N/A=所选期间无历史数据（灰）；--=该指标此列不适用/无值（灰色加粗）</w:t>
            </w:r>
          </w:p>
        </w:tc>
      </w:tr>
    </w:tbl>
    <w:p w14:paraId="056A85F1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3" w:name="_Toc31936"/>
      <w:r>
        <w:rPr>
          <w:shd w:val="clear" w:fill="FFFFFF"/>
        </w:rPr>
        <w:t>3、需求范围</w:t>
      </w:r>
      <w:bookmarkEnd w:id="3"/>
    </w:p>
    <w:p w14:paraId="380398F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入口路径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：平台顶部导航「数据应用」→ 左侧菜单「固定报表管理 → 华润银行」→ 点击报表名称进入对应页面。</w:t>
      </w:r>
    </w:p>
    <w:p w14:paraId="5638F51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范围内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①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固定报表需求说明（2.1）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：华润银行 9 张固定报表的通用展示需求（2.1.1）与分报表差异化需求（2.1.2），含页面框架、数据日期与期间查询、指标概览卡片、明细表结构与取值口径、预算一致性与单元格合并规则；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②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报表台账管理需求说明（2.2）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：平台「报表台账管理」菜单下华润银行 9 张报表台账的页面结构、取数与展示规则。</w:t>
      </w:r>
    </w:p>
    <w:p w14:paraId="64E83CD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范围外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：数据接口与 ETL 实现、通用报送平台的预算维护功能、平台权限体系实现（权限需求见第三章）。</w:t>
      </w:r>
    </w:p>
    <w:p w14:paraId="59501E2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报表清单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（共 9 张）：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30"/>
        <w:gridCol w:w="990"/>
        <w:gridCol w:w="990"/>
        <w:gridCol w:w="990"/>
        <w:gridCol w:w="1350"/>
        <w:gridCol w:w="1170"/>
        <w:gridCol w:w="990"/>
        <w:gridCol w:w="1170"/>
        <w:gridCol w:w="1530"/>
      </w:tblGrid>
      <w:tr w14:paraId="6BBF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2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F2500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  <w:t>编号</w:t>
            </w:r>
          </w:p>
        </w:tc>
        <w:tc>
          <w:tcPr>
            <w:tcW w:w="504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CBF00C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  <w:t>报表名称</w:t>
            </w:r>
          </w:p>
        </w:tc>
        <w:tc>
          <w:tcPr>
            <w:tcW w:w="504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E3012F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  <w:t>更新频率</w:t>
            </w:r>
          </w:p>
        </w:tc>
        <w:tc>
          <w:tcPr>
            <w:tcW w:w="504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64AB3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  <w:t>指标行数</w:t>
            </w:r>
          </w:p>
        </w:tc>
        <w:tc>
          <w:tcPr>
            <w:tcW w:w="688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9ED698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  <w:t>指标概览卡片</w:t>
            </w:r>
          </w:p>
        </w:tc>
        <w:tc>
          <w:tcPr>
            <w:tcW w:w="596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14C66D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  <w:t>当月值列组</w:t>
            </w:r>
          </w:p>
        </w:tc>
        <w:tc>
          <w:tcPr>
            <w:tcW w:w="504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214E0E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  <w:t>较年初列</w:t>
            </w:r>
          </w:p>
        </w:tc>
        <w:tc>
          <w:tcPr>
            <w:tcW w:w="596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1D8CAD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  <w:t>全年预算列</w:t>
            </w:r>
          </w:p>
        </w:tc>
        <w:tc>
          <w:tcPr>
            <w:tcW w:w="78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FCDD88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00" w:themeColor="text1"/>
                <w:sz w:val="18"/>
                <w:szCs w:val="18"/>
              </w:rPr>
              <w:t>指标属性标签列</w:t>
            </w:r>
          </w:p>
        </w:tc>
      </w:tr>
      <w:tr w14:paraId="0F401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512E6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7F16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01-资产负债简表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B52383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3DE6C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20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9B531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5FDECD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7C3E7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CAA7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C83B6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</w:tr>
      <w:tr w14:paraId="5ABA8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2EBAC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536D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02-损益表简表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776A3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E9DA82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3673B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17F73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0A6EA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48DFAB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62567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77EE7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F229A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0DA9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03-关键监测指标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1F8B03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季度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98376C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D96EFE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62E7E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2F38A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CBC65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D2E4E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4E300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0512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04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D3D05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04-收入结构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96E1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0BEAE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21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61908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4F79A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9B46CD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18F1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92D31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1E05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6C159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05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78CA4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05-成本结构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3118E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B800A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18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1B9C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2138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A6985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D17F3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77D9C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</w:tr>
      <w:tr w14:paraId="1DAA8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41971F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06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38104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06-存贷结构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16FE9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52182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76A1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589DBB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B550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28D45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62002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1F2DE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C3CB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07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0EFD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07-利率结构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6CC4A3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D9F018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B5604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80344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EABC4E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304012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F935A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</w:tr>
      <w:tr w14:paraId="46C2F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C1784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08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BC91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08-客群结构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201AA7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CBB05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14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022B3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163C2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2D302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1DA9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32561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  <w:tr w14:paraId="51B45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2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A7CEE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09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ECF3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09-风险情况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AFA00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月度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CB72D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15</w:t>
            </w:r>
          </w:p>
        </w:tc>
        <w:tc>
          <w:tcPr>
            <w:tcW w:w="68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37EBB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4 张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1DD31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Style w:val="253"/>
                <w:sz w:val="18"/>
                <w:szCs w:val="18"/>
              </w:rPr>
              <w:t>无</w:t>
            </w:r>
          </w:p>
        </w:tc>
        <w:tc>
          <w:tcPr>
            <w:tcW w:w="50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9E1B8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59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BBB4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  <w:tc>
          <w:tcPr>
            <w:tcW w:w="7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BEBD2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有</w:t>
            </w:r>
          </w:p>
        </w:tc>
      </w:tr>
    </w:tbl>
    <w:p w14:paraId="4C7BE5DF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4" w:name="_Toc7998"/>
      <w:r>
        <w:rPr>
          <w:shd w:val="clear" w:fill="FFFFFF"/>
        </w:rPr>
        <w:t>二、功能需求</w:t>
      </w:r>
      <w:bookmarkEnd w:id="4"/>
    </w:p>
    <w:p w14:paraId="1CFDF2D2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5" w:name="_Toc31520"/>
      <w:r>
        <w:rPr>
          <w:shd w:val="clear" w:fill="FFFFFF"/>
        </w:rPr>
        <w:t>2.1　固定报表需求说明</w:t>
      </w:r>
      <w:bookmarkEnd w:id="5"/>
    </w:p>
    <w:p w14:paraId="063725C0">
      <w:pPr>
        <w:pStyle w:val="71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本节约定华润银行 9 张固定报表的通用展示与取值规则（2.1.1），以及每张报表的差异化需求（2.1.2）；报表台账管理需求见 2.2。</w:t>
      </w:r>
    </w:p>
    <w:p w14:paraId="4BA91E78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　通用需求（9 张报表共用）</w:t>
      </w:r>
    </w:p>
    <w:p w14:paraId="67B0D97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2.1.1.1　页面框架</w:t>
      </w:r>
    </w:p>
    <w:p w14:paraId="354E2062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每张报表页面自上而下由三部分组成：</w:t>
      </w:r>
    </w:p>
    <w:p w14:paraId="4B0641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面板头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：左侧页面标题；右侧依次为「更新频率」块（月度/季度）、「📅 数据日期」年+月双下拉、「导出」按钮。</w:t>
      </w:r>
    </w:p>
    <w:p w14:paraId="1F2E44D2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指标概览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：折叠条（「指标概览 · 4 项核心 KPI」，默认展开，可点击收起）+ 4 张 KPI 卡片（淡蓝/淡金/淡绿/淡粉四色轮排）；卡片含 指标名、数值+单位、同比行、较年初行（部分报表不显示较年初，见各章）。</w:t>
      </w:r>
    </w:p>
    <w:p w14:paraId="576B2140">
      <w:pPr>
        <w:keepNext w:val="0"/>
        <w:keepLines w:val="0"/>
        <w:widowControl/>
        <w:numPr>
          <w:ilvl w:val="0"/>
          <w:numId w:val="1"/>
        </w:numPr>
        <w:suppressLineNumbers w:val="0"/>
        <w:spacing w:before="45" w:beforeAutospacing="0" w:after="45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明细表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：白底卡片内两级表头 + 全量指标行；表头吸顶、超高滚动。</w:t>
      </w:r>
    </w:p>
    <w:p w14:paraId="74E802B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2.1.1.2　数据日期与期间查询</w:t>
      </w:r>
    </w:p>
    <w:p w14:paraId="2A51C0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 xml:space="preserve">可选范围 </w:t>
      </w:r>
      <w:r>
        <w:rPr>
          <w:rStyle w:val="255"/>
          <w:rFonts w:hint="eastAsia" w:ascii="宋体" w:hAnsi="宋体" w:eastAsia="宋体" w:cs="宋体"/>
          <w:b/>
          <w:bCs/>
          <w:sz w:val="24"/>
          <w:szCs w:val="24"/>
        </w:rPr>
        <w:t>2024 ～ 当前年度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>，默认选中当前年度。</w:t>
      </w:r>
    </w:p>
    <w:p w14:paraId="38A3A7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月份下拉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>可选范围为所选年份的</w:t>
      </w:r>
      <w:r>
        <w:rPr>
          <w:rStyle w:val="255"/>
          <w:rFonts w:hint="eastAsia" w:ascii="宋体" w:hAnsi="宋体" w:eastAsia="宋体" w:cs="宋体"/>
          <w:b/>
          <w:bCs/>
          <w:sz w:val="24"/>
          <w:szCs w:val="24"/>
        </w:rPr>
        <w:t xml:space="preserve"> 1~12 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>月，默认选中日历</w:t>
      </w:r>
      <w:r>
        <w:rPr>
          <w:rStyle w:val="255"/>
          <w:rFonts w:hint="eastAsia" w:ascii="宋体" w:hAnsi="宋体" w:eastAsia="宋体" w:cs="宋体"/>
          <w:b/>
          <w:bCs/>
          <w:sz w:val="24"/>
          <w:szCs w:val="24"/>
        </w:rPr>
        <w:t>上月（有数据）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>；</w:t>
      </w:r>
      <w:r>
        <w:rPr>
          <w:rStyle w:val="255"/>
          <w:rFonts w:hint="eastAsia" w:ascii="宋体" w:hAnsi="宋体" w:eastAsia="宋体" w:cs="宋体"/>
          <w:b/>
          <w:bCs/>
          <w:sz w:val="24"/>
          <w:szCs w:val="24"/>
        </w:rPr>
        <w:t>若当前为 1 月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>，则</w:t>
      </w:r>
      <w:r>
        <w:rPr>
          <w:rStyle w:val="255"/>
          <w:rFonts w:hint="eastAsia" w:ascii="宋体" w:hAnsi="宋体" w:eastAsia="宋体" w:cs="宋体"/>
          <w:b/>
          <w:bCs/>
          <w:sz w:val="24"/>
          <w:szCs w:val="24"/>
        </w:rPr>
        <w:t>默认选中上一年 12 月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>（年份随之联动为上一年）。</w:t>
      </w:r>
    </w:p>
    <w:p w14:paraId="763C14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季度报表（03-关键监测指标）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：月份下拉切换为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Q1~Q4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季度下拉，默认选中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上一个已完结季度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；补充说明：若当前在 1~3 月，上一个已完结季度为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上一年 Q4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27F17EE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切换年/月后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自动查询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并重渲染页面，右上角 toast 提示「已加载 XXXX 年 X 月 数据 · 报表名」。</w:t>
      </w:r>
    </w:p>
    <w:p w14:paraId="75AB8F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查询加载后无数据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：保留 KPI 卡片、表头、指标行结构，数值显示灰色 </w:t>
      </w:r>
      <w:r>
        <w:rPr>
          <w:rStyle w:val="19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，toast 提示「无历史数据，仅显示报表结构」。</w:t>
      </w:r>
    </w:p>
    <w:p w14:paraId="2E83E21E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2.1.1.3　指标名称层级样式</w:t>
      </w:r>
    </w:p>
    <w:p w14:paraId="2D79E2CF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一级（lv0）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：加粗、深蓝色、左对齐顶格。</w:t>
      </w:r>
    </w:p>
    <w:p w14:paraId="4392F602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二级（lv1）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：黑体（SimHei）、正常字重、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  <w:t>右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对齐。</w:t>
      </w:r>
    </w:p>
    <w:p w14:paraId="33CAB3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三级（lv2）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：浅灰色、右对齐（当前银行 9 表中未使用，保留能力）。</w:t>
      </w:r>
    </w:p>
    <w:p w14:paraId="701FC00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2.1.1.4　指标属性标签列（含该列的报表）</w:t>
      </w:r>
    </w:p>
    <w:p w14:paraId="2C542B0D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蓝色标签「考核指标」；绿色标签「高质量指标」。</w:t>
      </w:r>
    </w:p>
    <w:p w14:paraId="394C0B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无标签 → 灰色占位 </w:t>
      </w:r>
      <w:r>
        <w:rPr>
          <w:rStyle w:val="253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EEAF165">
      <w:pPr>
        <w:keepNext w:val="0"/>
        <w:keepLines w:val="0"/>
        <w:widowControl/>
        <w:numPr>
          <w:ilvl w:val="0"/>
          <w:numId w:val="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/>
          <w:b/>
          <w:bCs/>
          <w:color w:val="021CBC"/>
          <w:lang w:val="en-US" w:eastAsia="zh-CN"/>
        </w:rPr>
        <w:t>指标属性标签取值逻辑</w:t>
      </w:r>
      <w:r>
        <w:rPr>
          <w:rFonts w:hint="eastAsia"/>
          <w:lang w:val="en-US" w:eastAsia="zh-CN"/>
        </w:rPr>
        <w:t>：根据指标编号从指标台账中获取；</w:t>
      </w:r>
    </w:p>
    <w:p w14:paraId="7594AC7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2.1.1.5　数值与涨跌显示规范</w:t>
      </w:r>
    </w:p>
    <w:p w14:paraId="05135C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数值列：数值展示采用千分位格式，保留 2 位小数。</w:t>
      </w:r>
    </w:p>
    <w:p w14:paraId="29B45F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  <w:lang w:val="en-US" w:eastAsia="zh-CN"/>
        </w:rPr>
        <w:t>涨跌规范：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正增长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红色 ▲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、负增长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绿色 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、零值灰色无箭头（金融业惯例：红涨绿跌）。</w:t>
      </w:r>
    </w:p>
    <w:p w14:paraId="278DD4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同比/环比/较年初：列表头不带 (%) 后缀，单位随数值单元格自带（% 或 ppt），保留 2 位小数。</w:t>
      </w:r>
    </w:p>
    <w:p w14:paraId="037D97D4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占位符统一：数据级占位 - → 灰色加粗 </w:t>
      </w:r>
      <w:r>
        <w:rPr>
          <w:rStyle w:val="253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；取不到数据 → 灰色 </w:t>
      </w:r>
      <w:r>
        <w:rPr>
          <w:rStyle w:val="19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4ED11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比率类指标（单位 %）的变动值用 ppt（百分点），金额/数量类用 %。</w:t>
      </w:r>
    </w:p>
    <w:p w14:paraId="26181762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2.1.1.6　指标取值说明（去年末、当月值 / 当季值、截止本月末 / 截止本季末、年初余额）</w:t>
      </w:r>
    </w:p>
    <w:p w14:paraId="4AB76B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去年末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取上一年度 12 月、时间维度为【本年累计数】；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取上一年度 12 月、时间维度为【本月末】。</w:t>
      </w:r>
    </w:p>
    <w:p w14:paraId="254293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当月值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，同指标分组编码下，取时间维度为【本月数】。</w:t>
      </w:r>
    </w:p>
    <w:p w14:paraId="294D1D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当季值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，同指标分组编码下，取时间维度为【本季数】。</w:t>
      </w:r>
    </w:p>
    <w:p w14:paraId="7055D4ED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取时间维度为【本月末】。</w:t>
      </w:r>
    </w:p>
    <w:p w14:paraId="4B9659B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期间指标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取时间维度为【本年累计数】；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取时间维度为【本季末】。</w:t>
      </w:r>
    </w:p>
    <w:p w14:paraId="30F764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40" w:beforeAutospacing="0" w:after="40" w:afterAutospacing="0" w:line="23" w:lineRule="atLeast"/>
        <w:ind w:left="425" w:leftChars="0" w:right="0" w:rightChars="0" w:hanging="425" w:firstLineChars="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年初余额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：适用于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时点指标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，取上一年度 12 月、时间维度为【本月末】。</w:t>
      </w:r>
    </w:p>
    <w:p w14:paraId="19A99D40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ascii="宋体" w:hAnsi="宋体" w:eastAsia="宋体" w:cs="宋体"/>
          <w:b/>
          <w:bCs/>
          <w:color w:val="021CBC"/>
          <w:kern w:val="0"/>
          <w:sz w:val="24"/>
          <w:szCs w:val="24"/>
          <w:lang w:val="en-US" w:eastAsia="zh-CN" w:bidi="ar"/>
        </w:rPr>
        <w:t>特别说明（开发人员）</w:t>
      </w:r>
      <w:r>
        <w:rPr>
          <w:rFonts w:ascii="宋体" w:hAnsi="宋体" w:eastAsia="宋体" w:cs="宋体"/>
          <w:color w:val="021CBC"/>
          <w:kern w:val="0"/>
          <w:sz w:val="24"/>
          <w:szCs w:val="24"/>
          <w:lang w:val="en-US" w:eastAsia="zh-CN" w:bidi="ar"/>
        </w:rPr>
        <w:t>：报表页面前端不展示指标标准编号、指标分组编号，底层表必须包含该两个字段，编号需与指标标准台账保持一致，否则无法实现指标落标。</w:t>
      </w:r>
    </w:p>
    <w:p w14:paraId="7DBAC778">
      <w:pPr>
        <w:keepNext w:val="0"/>
        <w:keepLines w:val="0"/>
        <w:widowControl/>
        <w:numPr>
          <w:ilvl w:val="0"/>
          <w:numId w:val="0"/>
        </w:numPr>
        <w:suppressLineNumbers w:val="0"/>
        <w:spacing w:before="40" w:beforeAutospacing="0" w:after="40" w:afterAutospacing="0" w:line="23" w:lineRule="atLeast"/>
        <w:ind w:leftChars="0" w:right="0" w:rightChars="0"/>
      </w:pPr>
    </w:p>
    <w:p w14:paraId="241437D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2.1.1.7　指标计算公式说明</w:t>
      </w:r>
    </w:p>
    <w:tbl>
      <w:tblPr>
        <w:tblStyle w:val="14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953"/>
        <w:gridCol w:w="1491"/>
        <w:gridCol w:w="1154"/>
        <w:gridCol w:w="1594"/>
        <w:gridCol w:w="770"/>
        <w:gridCol w:w="1799"/>
        <w:gridCol w:w="1535"/>
      </w:tblGrid>
      <w:tr w14:paraId="2446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314" w:type="pct"/>
            <w:gridSpan w:val="2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9E324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时间类型</w:t>
            </w:r>
          </w:p>
        </w:tc>
        <w:tc>
          <w:tcPr>
            <w:tcW w:w="1478" w:type="pct"/>
            <w:gridSpan w:val="2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24C057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当月值</w:t>
            </w:r>
          </w:p>
        </w:tc>
        <w:tc>
          <w:tcPr>
            <w:tcW w:w="2206" w:type="pct"/>
            <w:gridSpan w:val="3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C1A3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截止本月末</w:t>
            </w:r>
          </w:p>
        </w:tc>
      </w:tr>
      <w:tr w14:paraId="7B4BD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512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4A5EB0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  <w:t>时间类型</w:t>
            </w:r>
          </w:p>
        </w:tc>
        <w:tc>
          <w:tcPr>
            <w:tcW w:w="801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059D9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  <w:t>举例</w:t>
            </w:r>
          </w:p>
        </w:tc>
        <w:tc>
          <w:tcPr>
            <w:tcW w:w="621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8ACB7C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  <w:t>实际</w:t>
            </w:r>
          </w:p>
        </w:tc>
        <w:tc>
          <w:tcPr>
            <w:tcW w:w="856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A648D9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  <w:t>环比</w:t>
            </w:r>
          </w:p>
        </w:tc>
        <w:tc>
          <w:tcPr>
            <w:tcW w:w="414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59BBAD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  <w:t>实际</w:t>
            </w:r>
          </w:p>
        </w:tc>
        <w:tc>
          <w:tcPr>
            <w:tcW w:w="967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0134DC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  <w:t>同比</w:t>
            </w:r>
          </w:p>
        </w:tc>
        <w:tc>
          <w:tcPr>
            <w:tcW w:w="825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1DCBE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7"/>
                <w:szCs w:val="17"/>
              </w:rPr>
              <w:t>较年初</w:t>
            </w:r>
          </w:p>
        </w:tc>
      </w:tr>
      <w:tr w14:paraId="505A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C6FCA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DFD3D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（保费、收入、利润）</w:t>
            </w:r>
          </w:p>
        </w:tc>
        <w:tc>
          <w:tcPr>
            <w:tcW w:w="621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07D4F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截止本月累计-截止上月累计</w:t>
            </w:r>
          </w:p>
        </w:tc>
        <w:tc>
          <w:tcPr>
            <w:tcW w:w="85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01017E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(本月当月值-上月当月值)/上月当月值【%】</w:t>
            </w:r>
          </w:p>
        </w:tc>
        <w:tc>
          <w:tcPr>
            <w:tcW w:w="41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8BF37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本年累计数</w:t>
            </w:r>
          </w:p>
        </w:tc>
        <w:tc>
          <w:tcPr>
            <w:tcW w:w="96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43D5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(本年累计-去年同月累计)/去年同月累计【%】</w:t>
            </w:r>
          </w:p>
        </w:tc>
        <w:tc>
          <w:tcPr>
            <w:tcW w:w="825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D85A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5C4ED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D773C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B7F9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金额类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（余额、规模）</w:t>
            </w:r>
          </w:p>
        </w:tc>
        <w:tc>
          <w:tcPr>
            <w:tcW w:w="621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68912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6D606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743A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本月末余额</w:t>
            </w:r>
          </w:p>
        </w:tc>
        <w:tc>
          <w:tcPr>
            <w:tcW w:w="96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C2B41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(本月末余额-去年同月末余额)/去年同月末余额【%】</w:t>
            </w:r>
          </w:p>
        </w:tc>
        <w:tc>
          <w:tcPr>
            <w:tcW w:w="825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A492C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(本月末余额-年初余额)/年初余额【%】</w:t>
            </w:r>
          </w:p>
        </w:tc>
      </w:tr>
      <w:tr w14:paraId="648E9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4241D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期间值</w:t>
            </w:r>
          </w:p>
        </w:tc>
        <w:tc>
          <w:tcPr>
            <w:tcW w:w="801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8AF65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（ROE、新增不良率）</w:t>
            </w:r>
          </w:p>
        </w:tc>
        <w:tc>
          <w:tcPr>
            <w:tcW w:w="621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32052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A4841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7E9D2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3C85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0440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</w:tr>
      <w:tr w14:paraId="6C020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512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1B142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时点值</w:t>
            </w:r>
          </w:p>
        </w:tc>
        <w:tc>
          <w:tcPr>
            <w:tcW w:w="801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9E8A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18"/>
              </w:rPr>
              <w:t>比率类</w:t>
            </w: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（不良率、占比、覆盖率）</w:t>
            </w:r>
          </w:p>
        </w:tc>
        <w:tc>
          <w:tcPr>
            <w:tcW w:w="621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9FE4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856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F5FA9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不适用</w:t>
            </w:r>
          </w:p>
        </w:tc>
        <w:tc>
          <w:tcPr>
            <w:tcW w:w="414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1062C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本月末数</w:t>
            </w:r>
          </w:p>
        </w:tc>
        <w:tc>
          <w:tcPr>
            <w:tcW w:w="96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C2B7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本期比率-去年同期比率【百分点】</w:t>
            </w:r>
          </w:p>
        </w:tc>
        <w:tc>
          <w:tcPr>
            <w:tcW w:w="825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E2519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本期比率-年初比率【百分点】</w:t>
            </w:r>
          </w:p>
        </w:tc>
      </w:tr>
    </w:tbl>
    <w:p w14:paraId="62867A49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2.1.1.8　预算一致性规则</w:t>
      </w:r>
    </w:p>
    <w:p w14:paraId="5E5F32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业务在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通用报送平台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维护了全年预算的指标，则显示「全年预算」「预算达成率」值；否则两列一律 </w:t>
      </w:r>
      <w:r>
        <w:rPr>
          <w:rStyle w:val="253"/>
          <w:sz w:val="24"/>
          <w:szCs w:val="24"/>
          <w:shd w:val="clear" w:fill="FFFFFF"/>
        </w:rPr>
        <w:t>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371D722">
      <w:pPr>
        <w:keepNext w:val="0"/>
        <w:keepLines w:val="0"/>
        <w:widowControl/>
        <w:numPr>
          <w:ilvl w:val="0"/>
          <w:numId w:val="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21CBC"/>
          <w:sz w:val="24"/>
          <w:szCs w:val="24"/>
          <w:shd w:val="clear" w:fill="FFFFFF"/>
        </w:rPr>
        <w:t>预算达成率 = （截止本月末实际值 ÷ 全年预算）</w:t>
      </w:r>
      <w:r>
        <w:rPr>
          <w:rFonts w:hint="eastAsia" w:ascii="宋体" w:hAnsi="宋体" w:eastAsia="宋体" w:cs="宋体"/>
          <w:b/>
          <w:bCs/>
          <w:color w:val="021CBC"/>
          <w:sz w:val="24"/>
          <w:szCs w:val="24"/>
          <w:shd w:val="clear" w:fill="FFFFFF"/>
          <w:lang w:eastAsia="zh-CN"/>
        </w:rPr>
        <w:t>×</w:t>
      </w:r>
      <w:r>
        <w:rPr>
          <w:rFonts w:hint="eastAsia" w:ascii="宋体" w:hAnsi="宋体" w:eastAsia="宋体" w:cs="宋体"/>
          <w:b/>
          <w:bCs/>
          <w:color w:val="021CBC"/>
          <w:sz w:val="24"/>
          <w:szCs w:val="24"/>
          <w:shd w:val="clear" w:fill="FFFFFF"/>
        </w:rPr>
        <w:t xml:space="preserve"> 100%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，单元格内含进度条：≥95% 绿色、85%~95% 黄色、&lt;85% 红色。</w:t>
      </w:r>
    </w:p>
    <w:p w14:paraId="38D2BDF5">
      <w:pPr>
        <w:keepNext w:val="0"/>
        <w:keepLines w:val="0"/>
        <w:widowControl/>
        <w:suppressLineNumbers w:val="0"/>
        <w:jc w:val="left"/>
        <w:rPr>
          <w:color w:val="021CBC"/>
        </w:rPr>
      </w:pPr>
      <w:r>
        <w:rPr>
          <w:rStyle w:val="16"/>
          <w:rFonts w:ascii="宋体" w:hAnsi="宋体" w:eastAsia="宋体" w:cs="宋体"/>
          <w:color w:val="021CBC"/>
          <w:kern w:val="0"/>
          <w:sz w:val="24"/>
          <w:szCs w:val="24"/>
          <w:lang w:val="en-US" w:eastAsia="zh-CN" w:bidi="ar"/>
        </w:rPr>
        <w:t>特别说明</w:t>
      </w:r>
      <w:r>
        <w:rPr>
          <w:rStyle w:val="16"/>
          <w:rFonts w:hint="eastAsia" w:ascii="宋体" w:hAnsi="宋体" w:eastAsia="宋体" w:cs="宋体"/>
          <w:color w:val="021CBC"/>
          <w:kern w:val="0"/>
          <w:sz w:val="24"/>
          <w:szCs w:val="24"/>
          <w:lang w:val="en-US" w:eastAsia="zh-CN" w:bidi="ar"/>
        </w:rPr>
        <w:t>：</w:t>
      </w:r>
    </w:p>
    <w:p w14:paraId="7AFFF1D0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425" w:leftChars="0" w:hanging="425" w:firstLineChars="0"/>
        <w:rPr>
          <w:b w:val="0"/>
          <w:bCs w:val="0"/>
          <w:color w:val="000000" w:themeColor="text1"/>
        </w:rPr>
      </w:pPr>
      <w:r>
        <w:rPr>
          <w:b w:val="0"/>
          <w:bCs w:val="0"/>
          <w:color w:val="000000" w:themeColor="text1"/>
        </w:rPr>
        <w:t xml:space="preserve">以下指标的预算达成率计算公式为 </w:t>
      </w:r>
      <w:r>
        <w:rPr>
          <w:rStyle w:val="16"/>
          <w:b/>
          <w:bCs/>
          <w:color w:val="000000" w:themeColor="text1"/>
        </w:rPr>
        <w:t>（</w:t>
      </w:r>
      <w:r>
        <w:rPr>
          <w:rStyle w:val="16"/>
          <w:b/>
          <w:bCs/>
          <w:color w:val="021CBC"/>
        </w:rPr>
        <w:t>截止本月末实际值 − 上一年度年末实际值）÷ 全年预算值 × 100%</w:t>
      </w:r>
      <w:r>
        <w:rPr>
          <w:b w:val="0"/>
          <w:bCs w:val="0"/>
          <w:color w:val="000000" w:themeColor="text1"/>
        </w:rPr>
        <w:t>（</w:t>
      </w:r>
      <w:r>
        <w:rPr>
          <w:rStyle w:val="16"/>
          <w:b w:val="0"/>
          <w:bCs w:val="0"/>
          <w:color w:val="000000" w:themeColor="text1"/>
        </w:rPr>
        <w:t>净增量口径</w:t>
      </w:r>
      <w:r>
        <w:rPr>
          <w:b w:val="0"/>
          <w:bCs w:val="0"/>
          <w:color w:val="000000" w:themeColor="text1"/>
        </w:rPr>
        <w:t>）：</w:t>
      </w:r>
    </w:p>
    <w:p w14:paraId="44ADCCC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Chars="0"/>
        <w:rPr>
          <w:b w:val="0"/>
          <w:bCs w:val="0"/>
          <w:color w:val="000000" w:themeColor="text1"/>
        </w:rPr>
      </w:pPr>
      <w:r>
        <w:rPr>
          <w:rFonts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>公司有效客户数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>基石客户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>产融协同客户数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>代发客户数</w:t>
      </w:r>
      <w:r>
        <w:rPr>
          <w:rFonts w:hint="eastAsia"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>、</w:t>
      </w:r>
      <w:r>
        <w:rPr>
          <w:rFonts w:ascii="宋体" w:hAnsi="宋体" w:eastAsia="宋体" w:cs="宋体"/>
          <w:b/>
          <w:bCs/>
          <w:color w:val="000000" w:themeColor="text1"/>
          <w:kern w:val="0"/>
          <w:sz w:val="24"/>
          <w:szCs w:val="24"/>
          <w:lang w:val="en-US" w:eastAsia="zh-CN" w:bidi="ar"/>
        </w:rPr>
        <w:t>零售高净值客户数</w:t>
      </w:r>
      <w:r>
        <w:rPr>
          <w:rFonts w:ascii="宋体" w:hAnsi="宋体" w:eastAsia="宋体" w:cs="宋体"/>
          <w:b w:val="0"/>
          <w:bCs w:val="0"/>
          <w:color w:val="000000" w:themeColor="text1"/>
          <w:kern w:val="0"/>
          <w:sz w:val="24"/>
          <w:szCs w:val="24"/>
          <w:lang w:val="en-US" w:eastAsia="zh-CN" w:bidi="ar"/>
        </w:rPr>
        <w:t>（以上 5 项均属 08-客群结构）。</w:t>
      </w:r>
    </w:p>
    <w:p w14:paraId="6D4E34AF">
      <w:pPr>
        <w:keepNext w:val="0"/>
        <w:keepLines w:val="0"/>
        <w:widowControl/>
        <w:numPr>
          <w:ilvl w:val="0"/>
          <w:numId w:val="8"/>
        </w:numPr>
        <w:suppressLineNumbers w:val="0"/>
        <w:pBdr>
          <w:left w:val="none" w:color="auto" w:sz="0" w:space="0"/>
        </w:pBdr>
        <w:spacing w:before="0" w:beforeAutospacing="0" w:after="0" w:afterAutospacing="0" w:line="24" w:lineRule="atLeast"/>
        <w:ind w:left="425" w:leftChars="0" w:hanging="425" w:firstLineChars="0"/>
      </w:pPr>
      <w:r>
        <w:rPr>
          <w:rStyle w:val="16"/>
          <w:b/>
          <w:bCs/>
          <w:color w:val="021CBC"/>
        </w:rPr>
        <w:t>全年预算值</w:t>
      </w:r>
      <w:r>
        <w:rPr>
          <w:b/>
          <w:bCs/>
          <w:color w:val="021CBC"/>
        </w:rPr>
        <w:t>为</w:t>
      </w:r>
      <w:r>
        <w:rPr>
          <w:rStyle w:val="16"/>
          <w:b/>
          <w:bCs/>
          <w:color w:val="021CBC"/>
        </w:rPr>
        <w:t>年度维度数据</w:t>
      </w:r>
      <w:r>
        <w:rPr>
          <w:b w:val="0"/>
          <w:bCs w:val="0"/>
          <w:color w:val="000000" w:themeColor="text1"/>
        </w:rPr>
        <w:t>：获取全年预算值时，依据指标标准编号 + 对应年度 作为</w:t>
      </w:r>
      <w:r>
        <w:rPr>
          <w:rStyle w:val="16"/>
          <w:b w:val="0"/>
          <w:bCs w:val="0"/>
          <w:color w:val="000000" w:themeColor="text1"/>
        </w:rPr>
        <w:t>联合主键</w:t>
      </w:r>
      <w:r>
        <w:rPr>
          <w:b w:val="0"/>
          <w:bCs w:val="0"/>
          <w:color w:val="000000" w:themeColor="text1"/>
        </w:rPr>
        <w:t>，读取该指标的全年预算值。</w:t>
      </w:r>
    </w:p>
    <w:p w14:paraId="1467916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2.1.1.9　单元格合并</w:t>
      </w:r>
    </w:p>
    <w:p w14:paraId="126F3167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「指标分类」「指标分项」列，单元格按相同分类规则纵向合并，合并区间见各报表原型样式；</w:t>
      </w:r>
    </w:p>
    <w:p w14:paraId="2DA7E14E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　分报表需求</w:t>
      </w:r>
    </w:p>
    <w:p w14:paraId="641AADE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2.1.2.1　01-资产负债简表　</w:t>
      </w:r>
      <w:r>
        <w:rPr>
          <w:rStyle w:val="254"/>
          <w:b/>
          <w:bCs/>
          <w:shd w:val="clear" w:fill="FFFFFF"/>
        </w:rPr>
        <w:t>20 项指标</w:t>
      </w:r>
    </w:p>
    <w:p w14:paraId="1DA41F3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375C90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33870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31F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01-资产负债简表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CF08B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F5E6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资产负债简表</w:t>
            </w:r>
          </w:p>
        </w:tc>
      </w:tr>
      <w:tr w14:paraId="6F5B74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395E2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661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21073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225D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 行</w:t>
            </w:r>
          </w:p>
        </w:tc>
      </w:tr>
      <w:tr w14:paraId="2F4E67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EEB0E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8071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FDFDF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DBC1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7 列（含指标名称等结构列）</w:t>
            </w:r>
          </w:p>
        </w:tc>
      </w:tr>
      <w:tr w14:paraId="33AC55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2B9186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C389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CEDD1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C37B6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面板右上角「📥 导出」按钮</w:t>
            </w:r>
          </w:p>
        </w:tc>
      </w:tr>
    </w:tbl>
    <w:p w14:paraId="2EFF4321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295042A8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2072EBB6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卡片1·总资产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980E135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卡片2·贷款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42ECBA7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卡片3·存款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FE40348">
      <w:pPr>
        <w:keepNext w:val="0"/>
        <w:keepLines w:val="0"/>
        <w:widowControl/>
        <w:numPr>
          <w:ilvl w:val="0"/>
          <w:numId w:val="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卡片4·所有者权益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B128C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24B3543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63303A8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华润银行-01-资产负债简表-2026-08.xlsx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142CE9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0CF88919">
      <w:pPr>
        <w:keepNext w:val="0"/>
        <w:keepLines w:val="0"/>
        <w:widowControl/>
        <w:suppressLineNumbers w:val="0"/>
        <w:spacing w:before="120" w:after="120"/>
        <w:ind w:left="0" w:right="0" w:firstLine="420" w:firstLineChars="20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6"/>
          <w:rFonts w:hint="eastAsia" w:ascii="宋体" w:hAnsi="宋体" w:eastAsia="宋体" w:cs="宋体"/>
          <w:color w:val="FF0000"/>
          <w:lang w:eastAsia="zh-CN"/>
        </w:rPr>
        <w:t>×</w:t>
      </w:r>
      <w:r>
        <w:rPr>
          <w:rFonts w:hint="eastAsia" w:ascii="宋体" w:hAnsi="宋体" w:eastAsia="宋体" w:cs="宋体"/>
          <w:color w:val="FF0000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816"/>
        <w:gridCol w:w="2118"/>
        <w:gridCol w:w="816"/>
        <w:gridCol w:w="1144"/>
        <w:gridCol w:w="816"/>
        <w:gridCol w:w="816"/>
        <w:gridCol w:w="1148"/>
        <w:gridCol w:w="1472"/>
      </w:tblGrid>
      <w:tr w14:paraId="465810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44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BB768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115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74767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44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D2997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62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5AF6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1519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491AE4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8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6B122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C6006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44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27EA35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5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786BC0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C8A42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9ED9E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A35EA0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E2830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6E0CFE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8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CDA79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17207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C738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625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总资产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69A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8E0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A511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8642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2BB4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EE7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4F03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A511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4E1B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9D9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CF4E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6AE0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80FA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12C1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472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BC8D7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D8F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2A7D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普通贷款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06B0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D199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96DB1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E8B7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F86D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E8A8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6A050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0336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EF86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福费廷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8042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9BE0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AF6A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E623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F327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A80E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53592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9F5B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80AC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票据贴现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05FC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1D9F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53C4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0D2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DD7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8AF3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9EC01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5B75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009D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投资类资产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5AA7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9269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5C25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924F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026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3A4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1C504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6FD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EBF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债券投资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88B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B20E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38A22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53AF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FCAE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66A5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2814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CB3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52CF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E909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0350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3419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9155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75A5B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B73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F00E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7C5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874C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信托基金投资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6CE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B11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509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D6BB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0EF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2994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33683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4208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7DAE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其他投资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6B2C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3CB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C71B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8435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92C5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6333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DFED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4F1F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DAF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存拆放同业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105A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35CE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32B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6C3F3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72ED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E1A1E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0A3BB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B95D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3B9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买入返售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39CB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32239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3CFC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3F95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EF41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A1D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6B8DE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65F5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8767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存放央行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C349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6340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AB18A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363E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3FF2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DB6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A0413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5B08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909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总负债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4D4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3331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595BB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9371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BAFF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DCD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61D3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D80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1B25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36B4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ECE3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3F0A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FEB1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ACB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B3E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4AF3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FA26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C816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应付债券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57E7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52BD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C53A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5AF7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8EE4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0329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C9339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079D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F77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同业存拆放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992F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A00C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BAF5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47F5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218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4A78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3D92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00AC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8A34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卖出回购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C05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04C3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0DBF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FECD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FB4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F993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D87A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06C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695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向央行借款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8950C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2B29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A0E9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EF32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E5ED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3E5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DBB3F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1121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11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7E7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所有者权益</w:t>
            </w: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4CD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94A2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9A0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4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A767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62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898C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0921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62CB616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C053225">
      <w:pPr>
        <w:keepNext w:val="0"/>
        <w:keepLines w:val="0"/>
        <w:widowControl/>
        <w:suppressLineNumbers w:val="0"/>
        <w:spacing w:before="120" w:after="120"/>
        <w:ind w:left="0" w:right="0" w:firstLine="420" w:firstLineChars="20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0D6E2920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5" o:spt="75" alt="D:\work-2026\AI-test\华润-战略部数据应用-LAB\shots\bank01.png" type="#_x0000_t75" style="height:353.25pt;width:440pt;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132BB3DA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2.1.2.2　02-损益表简表　</w:t>
      </w:r>
      <w:r>
        <w:rPr>
          <w:rStyle w:val="254"/>
          <w:b/>
          <w:bCs/>
          <w:shd w:val="clear" w:fill="FFFFFF"/>
        </w:rPr>
        <w:t>14 项指标</w:t>
      </w:r>
    </w:p>
    <w:p w14:paraId="5909F79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37BF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DD0AF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EFE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02-损益表简表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FC9D7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6068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损益表简表</w:t>
            </w:r>
          </w:p>
        </w:tc>
      </w:tr>
      <w:tr w14:paraId="28212D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10FEBD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FF0E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5E1E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5D7A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 行</w:t>
            </w:r>
          </w:p>
        </w:tc>
      </w:tr>
      <w:tr w14:paraId="12A254F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3FCE57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22D4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7F36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30AE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 列（含指标名称等结构列）</w:t>
            </w:r>
          </w:p>
        </w:tc>
      </w:tr>
      <w:tr w14:paraId="5892DD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E5542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577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3F77E0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AC3C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面板右上角「📥 导出」按钮</w:t>
            </w:r>
          </w:p>
        </w:tc>
      </w:tr>
    </w:tbl>
    <w:p w14:paraId="59A2C705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1DE0468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0CE7F9E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卡片1·营业收入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85A4B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卡片2·拨备前利润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D0D35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卡片3·利润总额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5CB62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卡片4·净利润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7A8DC2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65A44B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2DD9F3D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华润银行-02-损益表简表-2026-08.xlsx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2F1918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2C5865B9">
      <w:pPr>
        <w:keepNext w:val="0"/>
        <w:keepLines w:val="0"/>
        <w:widowControl/>
        <w:suppressLineNumbers w:val="0"/>
        <w:spacing w:before="120" w:after="120"/>
        <w:ind w:left="0" w:right="0" w:firstLine="420" w:firstLineChars="20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6"/>
          <w:rFonts w:hint="eastAsia" w:ascii="宋体" w:hAnsi="宋体" w:eastAsia="宋体" w:cs="宋体"/>
          <w:color w:val="FF0000"/>
          <w:lang w:eastAsia="zh-CN"/>
        </w:rPr>
        <w:t>×</w:t>
      </w:r>
      <w:r>
        <w:rPr>
          <w:rFonts w:hint="eastAsia" w:ascii="宋体" w:hAnsi="宋体" w:eastAsia="宋体" w:cs="宋体"/>
          <w:color w:val="FF0000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79"/>
        <w:gridCol w:w="2023"/>
        <w:gridCol w:w="480"/>
        <w:gridCol w:w="1069"/>
        <w:gridCol w:w="626"/>
        <w:gridCol w:w="480"/>
        <w:gridCol w:w="482"/>
        <w:gridCol w:w="516"/>
        <w:gridCol w:w="518"/>
        <w:gridCol w:w="775"/>
        <w:gridCol w:w="923"/>
        <w:gridCol w:w="775"/>
      </w:tblGrid>
      <w:tr w14:paraId="46E677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0D0A6E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110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E6150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7CD8A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10FB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4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436C84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525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13B5AB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565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4AE55F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2C1F13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5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42BF9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9D8B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0B5AA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5FAB96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0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5B7A4E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ED5E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8CAD4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20E12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49B480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04FFFF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DCDCA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1CD08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22542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C832C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3AB8F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293919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509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C31B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营业收入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D64B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DF37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C3EC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EBA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0DEF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016D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78EE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5F8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2DAA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BBEB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47D0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F9DE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825D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利息净收入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9467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BE00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E382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E12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CE4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D82A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692D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C760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DEE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2173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B383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B08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DA42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非息净收入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1E0A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51C2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BBA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366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6C90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D5F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D9D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CA1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A49F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8E40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A39C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97B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52DE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其中：手续费及佣金净收入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AE63A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E749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E9E8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5035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F669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DA1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815D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88B5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4BCC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2C22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20AA9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841C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B0F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其他非息收入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AE40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FC5C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E8D1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1B61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5D6B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796E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6E5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25A2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7EE8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BD6D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1592A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DC9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DF40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投资收益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B863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F6F3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8BC4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525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5F95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B929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03D9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2B0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4D2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0D11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89C8C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C547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E31E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公允价值变动损益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7FCB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F591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D546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F6F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5C2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55F6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510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7097D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B529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62F7D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6B2E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1501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3AF0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业务及管理费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1525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4B2E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C872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E8E7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3C81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4A4E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67CE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DF82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1D4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3E3B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379B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6CE7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4477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税金及附加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2AC0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765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97F02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9CD8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5AAE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2F2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AFF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F838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6295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70F1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99872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A5B7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2451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拨备前利润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639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9F25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6F9D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F391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4ECD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F1A2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DB55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094B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7E8C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B487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56E5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452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1540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信用减值损失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59D8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B4ED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225E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C29C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DAB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2E60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02D2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08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B06A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6D1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22273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6E85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320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利润总额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995A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3F7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666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9C0D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6A86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836B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DB47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1ADBB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F13E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2375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1D26D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2431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1C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所得税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F716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47BB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1902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C457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C11C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750F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0D1E4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FCF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718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F6F9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875A7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3507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11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46DB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净利润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62C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8169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8B6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A752E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7D6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791D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C15C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9B1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72C9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B25FB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6C4212F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2D4A0C49">
      <w:pPr>
        <w:keepNext w:val="0"/>
        <w:keepLines w:val="0"/>
        <w:widowControl/>
        <w:suppressLineNumbers w:val="0"/>
        <w:spacing w:before="120" w:after="120"/>
        <w:ind w:left="0" w:right="0" w:firstLine="420" w:firstLineChars="20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53F94F5E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6" o:spt="75" alt="D:\work-2026\AI-test\华润-战略部数据应用-LAB\shots\bank02.png" type="#_x0000_t75" style="height:291.75pt;width:440pt;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5ABFCF16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2.1.2.3　03-关键监测指标　</w:t>
      </w:r>
      <w:r>
        <w:rPr>
          <w:rStyle w:val="254"/>
          <w:b/>
          <w:bCs/>
          <w:shd w:val="clear" w:fill="FFFFFF"/>
        </w:rPr>
        <w:t>21 项指标</w:t>
      </w:r>
    </w:p>
    <w:p w14:paraId="06C7A92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6B4995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C1531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AEE2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03-关键监测指标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AF0C6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98BB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关键监测指标</w:t>
            </w:r>
          </w:p>
        </w:tc>
      </w:tr>
      <w:tr w14:paraId="462275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1DC55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072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季度（数据日期下拉为 Q1~Q4）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517A6A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BC5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21 行</w:t>
            </w:r>
          </w:p>
        </w:tc>
      </w:tr>
      <w:tr w14:paraId="1CC05F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3EE3A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879A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18AF8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1944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3355B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0945F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BB7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8CE3C5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FBB23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面板右上角「📥 导出」按钮</w:t>
            </w:r>
          </w:p>
        </w:tc>
      </w:tr>
    </w:tbl>
    <w:p w14:paraId="4CF6F352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7092332F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091FE73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卡片1·流动性覆盖率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680ED8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卡片2·拨备覆盖率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857B32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卡片3·资本充足率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DD08B0D">
      <w:pPr>
        <w:keepNext w:val="0"/>
        <w:keepLines w:val="0"/>
        <w:widowControl/>
        <w:numPr>
          <w:ilvl w:val="0"/>
          <w:numId w:val="1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卡片4·房地产贷款集中度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截止本季末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DD923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3D2BFE0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65B04B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华润银行-03-关键监测指标-2026Q2.xlsx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5CF7E27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3AC795C6">
      <w:pPr>
        <w:keepNext w:val="0"/>
        <w:keepLines w:val="0"/>
        <w:widowControl/>
        <w:suppressLineNumbers w:val="0"/>
        <w:spacing w:before="120" w:after="120"/>
        <w:ind w:left="0" w:right="0" w:firstLine="420" w:firstLineChars="20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6"/>
          <w:rFonts w:hint="eastAsia" w:ascii="宋体" w:hAnsi="宋体" w:eastAsia="宋体" w:cs="宋体"/>
          <w:color w:val="FF0000"/>
          <w:lang w:eastAsia="zh-CN"/>
        </w:rPr>
        <w:t>×</w:t>
      </w:r>
      <w:r>
        <w:rPr>
          <w:rFonts w:hint="eastAsia" w:ascii="宋体" w:hAnsi="宋体" w:eastAsia="宋体" w:cs="宋体"/>
          <w:color w:val="FF0000"/>
        </w:rPr>
        <w:t xml:space="preserve"> 标记；空白单元格表示该指标在对应列有数值；</w:t>
      </w:r>
    </w:p>
    <w:p w14:paraId="728E51D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  <w:rPr>
          <w:rFonts w:hint="eastAsia"/>
          <w:shd w:val="clear" w:fill="FFFFFF"/>
        </w:rPr>
      </w:pPr>
      <w:r>
        <w:rPr>
          <w:rFonts w:hint="eastAsia"/>
          <w:shd w:val="clear" w:fill="FFFFFF"/>
          <w:lang w:val="en-US" w:eastAsia="zh-CN"/>
        </w:rPr>
        <w:t>（5）</w:t>
      </w:r>
      <w:r>
        <w:rPr>
          <w:rFonts w:hint="eastAsia"/>
          <w:shd w:val="clear" w:fill="FFFFFF"/>
        </w:rPr>
        <w:t>监管要求取值说明</w:t>
      </w:r>
    </w:p>
    <w:p w14:paraId="03FF34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120" w:after="120"/>
        <w:ind w:right="0" w:rightChars="0" w:firstLine="420" w:firstLineChars="0"/>
      </w:pPr>
      <w:r>
        <w:rPr>
          <w:rFonts w:hint="eastAsia" w:ascii="宋体" w:hAnsi="宋体" w:eastAsia="宋体" w:cs="宋体"/>
        </w:rPr>
        <w:t>对于监管要求类的指标，由业务提供监管数据，在数据库通过指标编号、指标名称对监管取值进行统一维护；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45"/>
        <w:gridCol w:w="791"/>
        <w:gridCol w:w="1505"/>
        <w:gridCol w:w="445"/>
        <w:gridCol w:w="910"/>
        <w:gridCol w:w="841"/>
        <w:gridCol w:w="563"/>
        <w:gridCol w:w="445"/>
        <w:gridCol w:w="445"/>
        <w:gridCol w:w="564"/>
        <w:gridCol w:w="678"/>
        <w:gridCol w:w="793"/>
        <w:gridCol w:w="721"/>
      </w:tblGrid>
      <w:tr w14:paraId="6C5353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FD5A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76D6B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2029" w:type="pct"/>
            <w:gridSpan w:val="4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3A7AC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监测指标信息</w:t>
            </w:r>
          </w:p>
        </w:tc>
        <w:tc>
          <w:tcPr>
            <w:tcW w:w="30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EDFD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80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90F4C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截止本季末</w:t>
            </w:r>
          </w:p>
        </w:tc>
        <w:tc>
          <w:tcPr>
            <w:tcW w:w="37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329C2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43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1F12D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7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661D3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0F2F2A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6B3BA3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59C599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99B65C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35284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856BD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D241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监管要求</w:t>
            </w:r>
          </w:p>
        </w:tc>
        <w:tc>
          <w:tcPr>
            <w:tcW w:w="30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2055E3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4C4184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C02D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C74A84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7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EEA1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9D2000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50F05A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24AF7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009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DB64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流动性风险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A6A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流动性覆盖率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7EF2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196D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0738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0A2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004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FA8C4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265A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596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9343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96AC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BF84B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F79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C3C5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E032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净稳定资金比例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18CA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78BC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2F8F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5EB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BF6B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3BEF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4C40C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9BD2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641F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00C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7F5B7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FBAB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D2A9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600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流动性缺口率（90天）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1937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6E9C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5B29E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≥-10%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D889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CD0D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073A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C1D7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6F4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9D22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6D51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0292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415B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5AD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F34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核心负债比例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DA8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2B3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44FA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≥60%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2487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5110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60DC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46C5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595E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41CE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33F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F0D2E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6FAC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7464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信用风险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C1B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拨备覆盖率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58428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3F66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0E80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≥150%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F4F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A89E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68CC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81C1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1E6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56D6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0FBD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8F81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1A4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D3B7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C684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贷款拨备率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831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BA66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8F09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≥2.5%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4784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ADF8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E9F0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03AB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976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381C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D416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3277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EC64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7E5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盈利性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6079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资产利润率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24CD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880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3EF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8070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7011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8E7B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698A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85D5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FB58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799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2BA34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982F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74C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7FAB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3246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ED3F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2544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A4895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6330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2E7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12F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BCA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A6D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0982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0F66D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F09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6DF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56CD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风险资产利润率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94BE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42B2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D1A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558C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A20B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C004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B700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683A8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D6AD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ABB3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F2F0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45DC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992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749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成本收入比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66CC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094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ED6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2AE2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64D98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6FE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96B1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469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DDF2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D1C2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ADF9A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66B1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8035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资本充足性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CE88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994E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2F63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6E2A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1D6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A15E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A7421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8237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1754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9BAA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129B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5DB9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ACB3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06EF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68B2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27A5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58F5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036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≥10.5%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4F22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A6FB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B5F2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233AE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B316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16CE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A285E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9CF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0281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84ED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93B6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一级资本净额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FE7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E712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0615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012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EAEC6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2A96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B51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FB0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56C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F6FC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B99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6DE7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84EC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99C9A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一级资本充足率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6690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0F86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2C0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≥8.5%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C691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98F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BE34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454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4BB6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CEAC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3EF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10FF9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C34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4721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B8C79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核心一级资本净额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26C2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6C32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5D7A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68940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E19C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457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AE2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F96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48BA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415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68583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C89B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D34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E5CA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核心一级资本充足率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FA7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FEB6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7FC2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≥7.5%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B1822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B4E8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8B3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25E1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941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05E9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4A0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B2C7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072D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290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746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杠杆率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86AA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E949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85F7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≥4%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88F47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2385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A7B0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0E1F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F28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E948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DE6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00D64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CFFFC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1567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DEC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风险加权资产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B7D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9B4F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DEA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29D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43EEE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08127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FAA3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004F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4260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1A35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7FB3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1A28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4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FF7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集中度指标</w:t>
            </w: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0E54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房地产贷款集中度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5F7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47B3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E6FA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CC5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482B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ECB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EAA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E7E86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D81C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E7BE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3CAB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508C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DAA0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0AC4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非同业集团客户集中度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A14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C07A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AA2D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0CF9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2F68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3ED9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71E4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0AF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092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9599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78AEA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F7A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4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6F13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2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4F09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非同业单一客户集中度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A851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329D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5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CF98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Style w:val="253"/>
                <w:sz w:val="18"/>
                <w:szCs w:val="24"/>
              </w:rPr>
              <w:t>--</w:t>
            </w:r>
          </w:p>
        </w:tc>
        <w:tc>
          <w:tcPr>
            <w:tcW w:w="30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6002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5C2DA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6F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1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2B3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7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F0D5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96FA4">
            <w:pPr>
              <w:keepNext w:val="0"/>
              <w:keepLines w:val="0"/>
              <w:widowControl/>
              <w:suppressLineNumbers w:val="0"/>
              <w:spacing w:line="23" w:lineRule="atLeast"/>
              <w:ind w:firstLine="361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7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BF2C45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7B5E2D5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</w:t>
      </w:r>
      <w:r>
        <w:rPr>
          <w:rFonts w:hint="eastAsia"/>
          <w:shd w:val="clear" w:fill="FFFFFF"/>
          <w:lang w:val="en-US" w:eastAsia="zh-CN"/>
        </w:rPr>
        <w:t>6</w:t>
      </w:r>
      <w:r>
        <w:rPr>
          <w:shd w:val="clear" w:fill="FFFFFF"/>
        </w:rPr>
        <w:t>）系统原型示意图</w:t>
      </w:r>
    </w:p>
    <w:p w14:paraId="34DF206D">
      <w:pPr>
        <w:keepNext w:val="0"/>
        <w:keepLines w:val="0"/>
        <w:widowControl/>
        <w:suppressLineNumbers w:val="0"/>
        <w:spacing w:before="120" w:after="120"/>
        <w:ind w:left="0" w:right="0" w:firstLine="420" w:firstLineChars="20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7ED9130E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7" o:spt="75" alt="D:\work-2026\AI-test\华润-战略部数据应用-LAB\shots\bank03.png" type="#_x0000_t75" style="height:371.25pt;width:440pt;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59EE5464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2.1.2.4　04-收入结构　</w:t>
      </w:r>
      <w:r>
        <w:rPr>
          <w:rStyle w:val="254"/>
          <w:b/>
          <w:bCs/>
          <w:shd w:val="clear" w:fill="FFFFFF"/>
        </w:rPr>
        <w:t>21 项指标</w:t>
      </w:r>
    </w:p>
    <w:p w14:paraId="7091359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405A26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91589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D7DB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04-收入结构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8D75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20F0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收入结构</w:t>
            </w:r>
          </w:p>
        </w:tc>
      </w:tr>
      <w:tr w14:paraId="11E40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E2DFB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88EE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273440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7F15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21 行</w:t>
            </w:r>
          </w:p>
        </w:tc>
      </w:tr>
      <w:tr w14:paraId="329F08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0231B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061D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DD02B2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4FC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13 列（含指标名称等结构列）</w:t>
            </w:r>
          </w:p>
        </w:tc>
      </w:tr>
      <w:tr w14:paraId="22B2CD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764A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F7F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9A033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82E2CC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面板右上角「📥 导出」按钮</w:t>
            </w:r>
          </w:p>
        </w:tc>
      </w:tr>
    </w:tbl>
    <w:p w14:paraId="2A1F399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10A01210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24B238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卡片1·全行营收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D370CA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卡片2·公司条线考核营收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8E2745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卡片3·零售条线考核营收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581E222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卡片4·全行手续费及佣金净收入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2E0CF0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66C82BC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19C3638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华润银行-04-收入结构-2026-08.xlsx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308D39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707B4669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6"/>
          <w:rFonts w:hint="eastAsia" w:ascii="宋体" w:hAnsi="宋体" w:eastAsia="宋体" w:cs="宋体"/>
          <w:color w:val="FF0000"/>
          <w:lang w:eastAsia="zh-CN"/>
        </w:rPr>
        <w:t>×</w:t>
      </w:r>
      <w:r>
        <w:rPr>
          <w:rFonts w:hint="eastAsia" w:ascii="宋体" w:hAnsi="宋体" w:eastAsia="宋体" w:cs="宋体"/>
          <w:color w:val="FF0000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0"/>
        <w:gridCol w:w="585"/>
        <w:gridCol w:w="858"/>
        <w:gridCol w:w="1816"/>
        <w:gridCol w:w="401"/>
        <w:gridCol w:w="771"/>
        <w:gridCol w:w="495"/>
        <w:gridCol w:w="401"/>
        <w:gridCol w:w="405"/>
        <w:gridCol w:w="425"/>
        <w:gridCol w:w="427"/>
        <w:gridCol w:w="721"/>
        <w:gridCol w:w="721"/>
        <w:gridCol w:w="720"/>
      </w:tblGrid>
      <w:tr w14:paraId="57BA9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</w:tblPrEx>
        <w:trPr>
          <w:cantSplit/>
          <w:tblHeader/>
        </w:trPr>
        <w:tc>
          <w:tcPr>
            <w:tcW w:w="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1D915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6FE581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F6D37B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00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A0745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2BAE0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3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AB7FE1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28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84829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464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47645D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当月值</w:t>
            </w:r>
          </w:p>
        </w:tc>
        <w:tc>
          <w:tcPr>
            <w:tcW w:w="489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C9329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8AABB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38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89F430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23CE4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40A0B3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ABC39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AB95D6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5C3497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3C514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7ADF6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CA604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8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4567E9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B792A5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D523E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环比</w:t>
            </w: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23B051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7203D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45E1A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8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4A604E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568E0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37F10B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B38E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926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收入结构</w:t>
            </w: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97F1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条线营收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CC252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ACB2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843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15C2C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17BC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942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568F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5BCC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A87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EC92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657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0B627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B4C5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96F0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6E5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079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8BC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1B22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208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0F30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753E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7C0C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506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1FF2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8711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8F07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7D40D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A32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3A8D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F21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518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其中：公司条线-存款营收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A9D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6D3E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195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10B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E411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73F9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EACD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0CA1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66CE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42F7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D2E6D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7CA7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E8C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DC43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66E6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公司条线-贷款营收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A0BB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347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323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3B2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B69CE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020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4F2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B1E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6350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F610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81E18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A9DB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E5D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0766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D370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FD23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3B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080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4858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8F84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7420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01BE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B3FC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D5B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8EA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EA8F7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066D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1F7C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68B8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BB8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其中：零售条线-存款营收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128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433B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E2B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80F8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721A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89175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076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0E44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AEAF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369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BBAE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F77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7522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4ADD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82A5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零售条线-贷款营收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A66D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45CB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50CB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4C75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504E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9724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014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A91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E509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BDA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83F83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447B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11F9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2A88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DE6B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金融市场条线考核营收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3885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3AAF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092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2570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5EF1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BC2CE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D814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3A38A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5D6F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A2FD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CD146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C930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572D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C58A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956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司库营收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E40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A98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BDE6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87EF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A301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D6C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517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35BF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73E7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C1D0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A6D4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A71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DC23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138E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条线利息净收入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641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C5AC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00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8D1A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E5CB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B2A60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A846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9905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8C5E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D519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9BBD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D1358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2CF84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6316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15E4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8448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AAE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13DE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CEA9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7B25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F8D6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864E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B9DB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38EB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F0F3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4377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ADBDC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79DE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330D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A2BDA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E4DE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零售条线利息净收入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2945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2364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809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8E4F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0C83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020A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EBD4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6D61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2A5C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9A94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7CB0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4AC2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6EA8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6ADD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条线非息净收入</w:t>
            </w: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42D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8CB1B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7C58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DB2C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16AA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9305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1C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E807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97C0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F817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078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C152B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4293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8E39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62CE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72E5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其中：全行手续费及佣金净收入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ECA5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9843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7CC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B680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A88E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A053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782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9238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D9AF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7941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687EC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293A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E062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7B7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63B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7666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E938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538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E342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AF0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6433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4BAE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B12F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4E43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88A6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D1587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0642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0C3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F4EC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A2B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E4628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F979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FEE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9239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17F9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2CA9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C292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EC4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831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42A8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BC00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4A9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580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E519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B409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零售条线非息收入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4FF6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D702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E8D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4F8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615B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0BF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71A8F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CF5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1C61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FD5F7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94BB5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258C4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03F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9D3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D2E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其中：零售条线手续费及佣金净收入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517B9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3DAB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F10F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0D53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1D7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46FE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A54D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3AD7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5BF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43D4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F3F30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5941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96F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1615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2046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全行投资收益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66E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734C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85FF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B6CA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DFEC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D7FC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9048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9E4E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86E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36E7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CB3DA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8EF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B72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F57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C340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其中：金融市场投资收益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1F7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3FD7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E89D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F81F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5CC1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B050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D90D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2720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FA0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278D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15F1C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18D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3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A84C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8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7C1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0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E9A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其他收入</w:t>
            </w: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61FE5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BF25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B075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E1020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C841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F01F4F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9D182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0BBC49">
            <w:pPr>
              <w:keepNext w:val="0"/>
              <w:keepLines w:val="0"/>
              <w:widowControl/>
              <w:suppressLineNumbers w:val="0"/>
              <w:spacing w:line="23" w:lineRule="atLeast"/>
              <w:ind w:firstLine="361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D60E0">
            <w:pPr>
              <w:keepNext w:val="0"/>
              <w:keepLines w:val="0"/>
              <w:widowControl/>
              <w:suppressLineNumbers w:val="0"/>
              <w:spacing w:line="23" w:lineRule="atLeast"/>
              <w:ind w:firstLine="361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63DDE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3C78645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68FCBF7">
      <w:pPr>
        <w:keepNext w:val="0"/>
        <w:keepLines w:val="0"/>
        <w:widowControl/>
        <w:suppressLineNumbers w:val="0"/>
        <w:spacing w:before="120" w:after="120"/>
        <w:ind w:left="0" w:right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79126075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"D:\\work-2026\\AI-test\\华润-战略部数据应用-LAB\\shots\\bank04.png"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8" o:spt="75" alt="D:\work-2026\AI-test\华润-战略部数据应用-LAB\shots\bank04.png" type="#_x0000_t75" style="height:363.75pt;width:440pt;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0A00E4F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2.1.2.5　05-成本结构　</w:t>
      </w:r>
      <w:r>
        <w:rPr>
          <w:rStyle w:val="254"/>
          <w:b/>
          <w:bCs/>
          <w:shd w:val="clear" w:fill="FFFFFF"/>
        </w:rPr>
        <w:t>18 项指标</w:t>
      </w:r>
    </w:p>
    <w:p w14:paraId="35244B4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18A9DF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FF986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79C9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05-成本结构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612447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DEF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成本结构</w:t>
            </w:r>
          </w:p>
        </w:tc>
      </w:tr>
      <w:tr w14:paraId="1E277F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ED7C2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EB1F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A72736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154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18 行</w:t>
            </w:r>
          </w:p>
        </w:tc>
      </w:tr>
      <w:tr w14:paraId="67ECC9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168A1E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EE5F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83B676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5424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8 列（含指标名称等结构列）</w:t>
            </w:r>
          </w:p>
        </w:tc>
      </w:tr>
      <w:tr w14:paraId="5247AD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9F987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7E0C4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EB397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4ADC29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面板右上角「📥 导出」按钮</w:t>
            </w:r>
          </w:p>
        </w:tc>
      </w:tr>
    </w:tbl>
    <w:p w14:paraId="432FAF9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6C022DEA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4738D6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卡片1·公司条线成本合计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8380D5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卡片2·零售条线成本合计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95831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卡片3·公司条线-EVA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BAF55A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卡片4·零售条线-EVA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45A0E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244936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05A5EF9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华润银行-05-成本结构-2026-08.xlsx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04A750BA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54B45A1F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6"/>
          <w:rFonts w:hint="eastAsia" w:ascii="宋体" w:hAnsi="宋体" w:eastAsia="宋体" w:cs="宋体"/>
          <w:color w:val="FF0000"/>
          <w:lang w:eastAsia="zh-CN"/>
        </w:rPr>
        <w:t>×</w:t>
      </w:r>
      <w:r>
        <w:rPr>
          <w:rFonts w:hint="eastAsia" w:ascii="宋体" w:hAnsi="宋体" w:eastAsia="宋体" w:cs="宋体"/>
          <w:color w:val="FF0000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24"/>
        <w:gridCol w:w="935"/>
        <w:gridCol w:w="1748"/>
        <w:gridCol w:w="2489"/>
        <w:gridCol w:w="630"/>
        <w:gridCol w:w="730"/>
        <w:gridCol w:w="576"/>
        <w:gridCol w:w="578"/>
        <w:gridCol w:w="936"/>
      </w:tblGrid>
      <w:tr w14:paraId="1469F9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DBA79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E9FDD1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9F153A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36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794A28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9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BA5D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0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48766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643" w:type="pct"/>
            <w:gridSpan w:val="2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A683B5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C7C9C7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73A27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BE3595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C7F7B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023DA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071A0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9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144B82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0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DDCA8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D260C39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E424D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17064E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5E6B07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DF29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517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BEF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成本结构</w:t>
            </w: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CCEF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37E7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0229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341D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376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0C58E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0F78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D2B42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CD7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0216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1A85F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4EC0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其中：公司条线-运营成本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1A21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63B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95D1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696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BF86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D8A58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301F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E35E9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93A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FC27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4F41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FA2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CB5F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535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968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2DA410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C60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4637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C49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B443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16DC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A145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A65A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80B2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4CEF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AA51F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A054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A9D5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5DEF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F233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CB2F8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BEF9A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EDB0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A530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407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D0F8F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6610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9C8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C60E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1C0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公司条线-RAROC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DA3C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AD0D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F84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5DCC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3BAC3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74609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D5BB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522F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5BA2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587B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D90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F8C8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C6FA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AAF4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ADFD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DE9E1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9BDD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D1B0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3B9DD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3BB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其中：零售条线-运营成本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2E1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610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B056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C47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0E74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158DD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FA42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364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DD6E2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6F6E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7262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D3B8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7A06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5E59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E3AD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039AB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2DAA2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17E5C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6D56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38DB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7978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9E2F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C283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14EC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B60D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BB99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E507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0080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D46E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CFB9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F599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7BB9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A8D4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0B3ED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1C27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E31B5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79EF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7FF3D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53D5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E730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零售条线-RAROC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AF8F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DFBD6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7E118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A42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211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73E38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89CC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92A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29E8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金融市场条线成本</w:t>
            </w: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C176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金融市场条线成本合计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6CCB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50553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A387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48F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EEC8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23F2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951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B856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52A0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D7A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其中：金融市场-运营成本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1E7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F924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2BD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9672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8BBF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6FFCA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BA4D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1975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5FAB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94D9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金融市场-风险成本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EE02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A001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A37F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07F1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A948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5F4A5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BCA9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A6431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52482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AC5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金融市场-资本成本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75BD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10A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99233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770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DCD2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67E478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2CCA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94BA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DFF4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083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金融市场-EVA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DC2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540A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AC8A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0163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481F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34136A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F94DB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517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5517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23A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36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C00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金融市场-RAROC</w:t>
            </w:r>
          </w:p>
        </w:tc>
        <w:tc>
          <w:tcPr>
            <w:tcW w:w="29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79DE1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0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333F78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A8735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566E09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1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95335B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</w:tbl>
    <w:p w14:paraId="461BA81B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EDA8B7E">
      <w:pPr>
        <w:keepNext w:val="0"/>
        <w:keepLines w:val="0"/>
        <w:widowControl/>
        <w:suppressLineNumbers w:val="0"/>
        <w:spacing w:before="120" w:after="120"/>
        <w:ind w:left="0" w:right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57101A99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"D:\\work-2026\\AI-test\\华润-战略部数据应用-LAB\\shots\\bank05.png"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29" o:spt="75" alt="D:\work-2026\AI-test\华润-战略部数据应用-LAB\shots\bank05.png" type="#_x0000_t75" style="height:323.25pt;width:440pt;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3837325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2.1.2.6　06-存贷结构　</w:t>
      </w:r>
      <w:r>
        <w:rPr>
          <w:rStyle w:val="254"/>
          <w:b/>
          <w:bCs/>
          <w:shd w:val="clear" w:fill="FFFFFF"/>
        </w:rPr>
        <w:t>30 项指标</w:t>
      </w:r>
    </w:p>
    <w:p w14:paraId="4CADE7B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360CD0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CA196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317ED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06-存贷结构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44278F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CBDA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存贷结构</w:t>
            </w:r>
          </w:p>
        </w:tc>
      </w:tr>
      <w:tr w14:paraId="648B2F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F9991C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9306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98C62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BEB0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30 行</w:t>
            </w:r>
          </w:p>
        </w:tc>
      </w:tr>
      <w:tr w14:paraId="7263FA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858878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7632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8E3C9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B00B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5FA75D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FE3F1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FA67D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20D493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A98EB3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面板右上角「📥 导出」按钮</w:t>
            </w:r>
          </w:p>
        </w:tc>
      </w:tr>
    </w:tbl>
    <w:p w14:paraId="649484C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597DC2DE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596A842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卡片1·存款余额（全行）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881D5E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卡片2·个人AUM月日均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2F47B4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卡片3·存款年日均（全行）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9FDE35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卡片4·公司-贷款余额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7EA4FA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5C28794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44F799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华润银行-06-存贷结构-2026-08.xlsx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35D1C81F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69446B77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6"/>
          <w:rFonts w:hint="eastAsia" w:ascii="宋体" w:hAnsi="宋体" w:eastAsia="宋体" w:cs="宋体"/>
          <w:color w:val="FF0000"/>
          <w:lang w:eastAsia="zh-CN"/>
        </w:rPr>
        <w:t>×</w:t>
      </w:r>
      <w:r>
        <w:rPr>
          <w:rFonts w:hint="eastAsia" w:ascii="宋体" w:hAnsi="宋体" w:eastAsia="宋体" w:cs="宋体"/>
          <w:color w:val="FF0000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15"/>
        <w:gridCol w:w="602"/>
        <w:gridCol w:w="759"/>
        <w:gridCol w:w="2010"/>
        <w:gridCol w:w="416"/>
        <w:gridCol w:w="1068"/>
        <w:gridCol w:w="509"/>
        <w:gridCol w:w="416"/>
        <w:gridCol w:w="416"/>
        <w:gridCol w:w="515"/>
        <w:gridCol w:w="721"/>
        <w:gridCol w:w="696"/>
        <w:gridCol w:w="603"/>
      </w:tblGrid>
      <w:tr w14:paraId="6AD40A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548BC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345EA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21C5D1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10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4C033B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DBD26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6417C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28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B2965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75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A28D7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1857DE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385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70602B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C78EA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25DA80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9ABE7C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E0EE326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FCD0D3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CF4D2E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FF553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61327B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8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E22536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3DA0DD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BA3001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2FF94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54735B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5F5C03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FC0A53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1B67A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2E7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3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FD7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存贷结构</w:t>
            </w: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B79CD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存款余额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25E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存款余额（全行）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FCEF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027EB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6704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C9AF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5ACE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D997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9B50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C640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75A9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E28A9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F9C5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0B1E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C157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ED16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公司低成本存款余额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A9151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555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3A97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4E88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134F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7E653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85BD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2712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CB0D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02B7C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3975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A2E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DEE59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4C8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公司定期存款余额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634D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763E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25269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DDB6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A57A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7D51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7BF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C20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B148E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1104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7CDE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E097B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305A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98B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个人低成本存款余额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4AEA1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630F1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0F15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55BB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6BC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D1C42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9575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2CC4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7EF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D56D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B2F1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A937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7DA5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7B8E7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个人定期存款余额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A5E0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2906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484A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7D0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96D9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55A0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39B3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E13D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5A0D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01D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D4128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CA18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E285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AUM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848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871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81E0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34E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6E4B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0951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F3DB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1EF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CDF1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856F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113A2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4EA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68F4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50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9736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其中：个人非存AUM月日均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01F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83AC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ED21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AE5F7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AE47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8832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D789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EC2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8B7E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D1CD6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C63C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AAD6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959C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ED259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代发客户AUM月日均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CAD24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90A6E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1F0C5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729E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0EB53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D766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BD2B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3F4D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B2CB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12D8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0CB55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BC1C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DCC5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存款年日均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0BD7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存款年日均（全行）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DA92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CEE5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48269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A2F6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7AA38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240E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DF0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7407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496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BA2D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263B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B771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D155F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3F09A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51BF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42B5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37FD2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28518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A035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1F6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3E59A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118B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17CB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B5B8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2B02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ABEA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128A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62A5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低成本存款占比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4E8E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468B3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CD83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BDFA0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F3D80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8ACCE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1918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E56B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DD5F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1B085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9783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7AA6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B934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2709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产融协同低成本存款年日均余额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E11A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912F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B63F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3364C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99C6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FAA6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860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E9CA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9CBE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403F6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923D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2115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18440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A81F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0DDA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31560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6B55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7DBB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2026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D328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9C9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4AC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2CB7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546C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6D7EE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8064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47F1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2873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BF50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F107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255EB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DD29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7BE9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0E1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91A2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9D1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C4497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58A65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31F1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0215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939FE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84C6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459E9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38BFC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263B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563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5F70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49647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55C4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E35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687B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27241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A17D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8FE4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0ACC4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594D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个人低成本存款年日均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F7C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F9DFB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F9AC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D313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263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536A7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8016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A699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6D7F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F637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DDB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8893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0C7D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贷款余额</w:t>
            </w: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C82EC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3342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B1F62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C25E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7B1B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DF28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3A36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FC64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7C02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F801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19D1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0144E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84B2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EEFEF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958A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公司-房地产贷款余额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4088B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FD066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D3F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2D45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30D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BE349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DE9B1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577F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0A69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A64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CF3B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69AD9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4B0B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E09E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公司-贸易融资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F6E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C355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3A62C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174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97A9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6FBF1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C367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4D685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C1E5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2BD8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EB19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CCE15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7200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3DF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公司-中小企业贷款余额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DF02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3DF34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240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5B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A2222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FE4FB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E7B88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A726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720C4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CAEE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2F49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21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9E99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69C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1C74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公司-科技企业客群净增余额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CB7F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0009F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DFFC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523F4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D8161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4B91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53D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2311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7CB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2FD0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53C2E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22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34019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DFB9D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70D1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绿色金融余额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E66C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46A6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92AA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B064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15D01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2333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44306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DD76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C11C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D4655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8910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23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9DBF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DF06D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6E253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产业金融余额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A4A5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67A7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FBBB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A146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8E65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859C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9411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9A5C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9154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2820B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52D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24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3A3D7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205BA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077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个人-贷款余额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12E6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5E8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467BB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FD92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1613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C7A68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9CACF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E5FB5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400C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3D443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98F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25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C6533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3A58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C09C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个人抵押贷余额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BD1A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6DC60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5BE9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78216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11D0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AFD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6319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7B3C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4F31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5B8B2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722E8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26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397F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966B9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E73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个人按揭贷余额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FA9A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77A3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8A87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06AD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9DE0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BA5D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8641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B3E9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296F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616B7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3AB56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27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408A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3949D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018C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个人信用贷余额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C420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A319C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16A7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51F0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3D6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D14B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84D4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46C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1AA2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CEFEE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2925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28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CB14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0227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D3E13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其中：润薪贷、AUM贷、财富贷、车位贷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AD0A4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7CEE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5DE278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F4CC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E5FBF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46F0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5000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448B1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45FA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8E49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EBE6B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29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08B4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C321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B07B3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个人平台贷余额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8876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A395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76A13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30B6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841C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957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B866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5F9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7EB76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DC5BCA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2C1C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30</w:t>
            </w:r>
          </w:p>
        </w:tc>
        <w:tc>
          <w:tcPr>
            <w:tcW w:w="33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CC23D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1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42924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10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2551A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贴现余额</w:t>
            </w: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A2753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4B233E">
            <w:pPr>
              <w:keepNext w:val="0"/>
              <w:keepLines w:val="0"/>
              <w:widowControl/>
              <w:suppressLineNumbers w:val="0"/>
              <w:spacing w:line="23" w:lineRule="atLeast"/>
              <w:ind w:firstLine="361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28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942E7A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6DBFE6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4AE509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F60E65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857191">
            <w:pPr>
              <w:keepNext w:val="0"/>
              <w:keepLines w:val="0"/>
              <w:widowControl/>
              <w:suppressLineNumbers w:val="0"/>
              <w:spacing w:line="23" w:lineRule="atLeast"/>
              <w:ind w:firstLine="361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8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2DAB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3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7AB1D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E8C61E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4313E3C5">
      <w:pPr>
        <w:keepNext w:val="0"/>
        <w:keepLines w:val="0"/>
        <w:widowControl/>
        <w:suppressLineNumbers w:val="0"/>
        <w:spacing w:before="120" w:after="120"/>
        <w:ind w:left="0" w:right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4F05B87D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"D:\\work-2026\\AI-test\\华润-战略部数据应用-LAB\\shots\\bank06.png"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0" o:spt="75" alt="D:\work-2026\AI-test\华润-战略部数据应用-LAB\shots\bank06.png" type="#_x0000_t75" style="height:475.5pt;width:440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399F48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2.1.2.7　07-利率结构　</w:t>
      </w:r>
      <w:r>
        <w:rPr>
          <w:rStyle w:val="254"/>
          <w:b/>
          <w:bCs/>
          <w:shd w:val="clear" w:fill="FFFFFF"/>
        </w:rPr>
        <w:t>15 项指标</w:t>
      </w:r>
    </w:p>
    <w:p w14:paraId="303C3246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85"/>
        <w:gridCol w:w="3721"/>
        <w:gridCol w:w="1175"/>
        <w:gridCol w:w="2865"/>
      </w:tblGrid>
      <w:tr w14:paraId="6FB9C6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13DD33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7B0F9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07-利率结构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B218BE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8B90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利率结构</w:t>
            </w:r>
          </w:p>
        </w:tc>
      </w:tr>
      <w:tr w14:paraId="507016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FC0413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409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EBE2D4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006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 行</w:t>
            </w:r>
          </w:p>
        </w:tc>
      </w:tr>
      <w:tr w14:paraId="4B2037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B36CC8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FA3CC6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604B5D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6CEFD5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9 列（含指标名称等结构列）</w:t>
            </w:r>
          </w:p>
        </w:tc>
      </w:tr>
      <w:tr w14:paraId="4BC99B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57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61D1F8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388A5F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2C0572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56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770501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面板右上角「📥 导出」按钮</w:t>
            </w:r>
          </w:p>
        </w:tc>
      </w:tr>
    </w:tbl>
    <w:p w14:paraId="789ABEE8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66F0DECC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5C335F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卡片1·生息资产收益率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0408D4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卡片2·付息负债付息率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358B76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卡片3·存贷利差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4BFE929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卡片4·净息差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4761C0E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76DB991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316C2CB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华润银行-07-利率结构-2026-08.xlsx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7FBCAED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6EED5452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6"/>
          <w:rFonts w:hint="eastAsia" w:ascii="宋体" w:hAnsi="宋体" w:eastAsia="宋体" w:cs="宋体"/>
          <w:color w:val="FF0000"/>
          <w:lang w:eastAsia="zh-CN"/>
        </w:rPr>
        <w:t>×</w:t>
      </w:r>
      <w:r>
        <w:rPr>
          <w:rFonts w:hint="eastAsia" w:ascii="宋体" w:hAnsi="宋体" w:eastAsia="宋体" w:cs="宋体"/>
          <w:color w:val="FF0000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56"/>
        <w:gridCol w:w="1010"/>
        <w:gridCol w:w="1010"/>
        <w:gridCol w:w="2245"/>
        <w:gridCol w:w="630"/>
        <w:gridCol w:w="783"/>
        <w:gridCol w:w="557"/>
        <w:gridCol w:w="557"/>
        <w:gridCol w:w="787"/>
        <w:gridCol w:w="1011"/>
      </w:tblGrid>
      <w:tr w14:paraId="0346C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D8DD43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9A7565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B3EB5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123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6A05E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308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31ACD2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43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FE4243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1050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88BBF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B654C4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7CC8D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30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47C033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4D909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BB5A7C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5A90B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68B4F4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3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356E9A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4091F9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E6CA0A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7701DE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0B3DFE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121E5A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BCFB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46746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利率结构</w:t>
            </w: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22EF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资产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B06F8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056C0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6B59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9D45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28581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B4E8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5F01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DFAA8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94A86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6D08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D9A7A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02AD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贷款对客收益率-对公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B554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0F6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5980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49751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84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7DD35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E4BF7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619B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DBB60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8D3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39834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贷款对客收益率-个人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2CF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498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751A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5480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F5C9E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2CBAA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BE56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3434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527A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2445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A7B88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贷款对客收益率-贴现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B29DB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76566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F7F6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1A81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ED9D4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3BB8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78100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6E13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DA180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F45F0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7F4F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债券投资收益率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2C3F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9DDCA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3621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FC24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E88AB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D8704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FB85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D755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940B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8E0D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2E39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同业资产收益率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274E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138870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6EB8D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A87A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6D2F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2FB53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A023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D3C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1639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47F96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F6E41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生息资产收益率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8F89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40EB4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60071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A4E7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1DB0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7C250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63DC5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D43C0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B1F2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162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负债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646D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1A6B3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2F5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5CB5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9B98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792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B0356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F646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A77A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C46F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2953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4999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存款对客付息率-公司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27B14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D2AB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A204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CF757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E7D2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2354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842B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1447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7F5FE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C0C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2DBF9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存款对客付息率-个人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481B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267EF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F47C0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458A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1E7F3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D061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ABC57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6C56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5A74E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D73C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179D0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应付债券付息率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0E672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6BE5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8A84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76AF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6691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BDEEF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ADBAB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A257C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FBAD6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CEFC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6E75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同业负债付息率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3F8B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8503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C942C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1920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CA3954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BE1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D565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F196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F38B0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A5B30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3A74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付息负债付息率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CC02D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A73DF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E7FA1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D38B9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A96F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C060B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B8E0F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EEEC3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8A429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AAC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</w:t>
            </w: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FCB2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存贷利差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A4F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5324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586F8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357C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201E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E67D1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7B9F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1CC1C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6E2D07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32E4C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123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453230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净息差</w:t>
            </w: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D68743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43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B0D63C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587677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8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19DEB8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3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4404A6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56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2EC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638C1B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5DCAF8EA">
      <w:pPr>
        <w:keepNext w:val="0"/>
        <w:keepLines w:val="0"/>
        <w:widowControl/>
        <w:suppressLineNumbers w:val="0"/>
        <w:spacing w:before="120" w:after="120"/>
        <w:ind w:left="0" w:right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620176F8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"D:\\work-2026\\AI-test\\华润-战略部数据应用-LAB\\shots\\bank07.png"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1" o:spt="75" alt="D:\work-2026\AI-test\华润-战略部数据应用-LAB\shots\bank07.png" type="#_x0000_t75" style="height:297.75pt;width:440pt;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E8D8E2B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2.1.2.8　08-客群结构　</w:t>
      </w:r>
      <w:r>
        <w:rPr>
          <w:rStyle w:val="254"/>
          <w:b/>
          <w:bCs/>
          <w:shd w:val="clear" w:fill="FFFFFF"/>
        </w:rPr>
        <w:t>14 项指标</w:t>
      </w:r>
    </w:p>
    <w:p w14:paraId="461F9257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06ED81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F0BB54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5769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08-客群结构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97BA79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C7646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客群结构</w:t>
            </w:r>
          </w:p>
        </w:tc>
      </w:tr>
      <w:tr w14:paraId="0EE51B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43BFE8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469D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8711B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A2CD3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14 行</w:t>
            </w:r>
          </w:p>
        </w:tc>
      </w:tr>
      <w:tr w14:paraId="438D58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48DE18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601A9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1CF64E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D291987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12 列（含指标名称等结构列）</w:t>
            </w:r>
          </w:p>
        </w:tc>
      </w:tr>
      <w:tr w14:paraId="35CE53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BA2AF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D708B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D4542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F22D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面板右上角「📥 导出」按钮</w:t>
            </w:r>
          </w:p>
        </w:tc>
      </w:tr>
    </w:tbl>
    <w:p w14:paraId="32E49D7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5A1E6745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43AA5B6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卡片1·公司有效授信客户数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2FC53B7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卡片2·基石客户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10416A8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卡片3·零售客户数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（单位：万户）、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3B42E5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卡片4·代发客户数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（单位：户）、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EE652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4CC972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5EE6ECA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华润银行-08-客群结构-2026-08.xlsx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1B90A69D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2E622510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6"/>
          <w:rFonts w:hint="eastAsia" w:ascii="宋体" w:hAnsi="宋体" w:eastAsia="宋体" w:cs="宋体"/>
          <w:color w:val="FF0000"/>
          <w:lang w:eastAsia="zh-CN"/>
        </w:rPr>
        <w:t>×</w:t>
      </w:r>
      <w:r>
        <w:rPr>
          <w:rFonts w:hint="eastAsia" w:ascii="宋体" w:hAnsi="宋体" w:eastAsia="宋体" w:cs="宋体"/>
          <w:color w:val="FF0000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36"/>
        <w:gridCol w:w="656"/>
        <w:gridCol w:w="656"/>
        <w:gridCol w:w="1641"/>
        <w:gridCol w:w="436"/>
        <w:gridCol w:w="1204"/>
        <w:gridCol w:w="546"/>
        <w:gridCol w:w="436"/>
        <w:gridCol w:w="436"/>
        <w:gridCol w:w="550"/>
        <w:gridCol w:w="721"/>
        <w:gridCol w:w="769"/>
        <w:gridCol w:w="659"/>
      </w:tblGrid>
      <w:tr w14:paraId="18873E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CCE7F5C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D50C76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30A2B8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指标分项</w:t>
            </w:r>
          </w:p>
        </w:tc>
        <w:tc>
          <w:tcPr>
            <w:tcW w:w="899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A70E06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4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A764C8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660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57A670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0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ADF2C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785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71D917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482F1B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42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1C1B70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3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25E1E2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3E875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4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CFAB9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F80FB6C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F427CA7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7DDDAFE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C61DF89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660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9FBACCF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EDF9FA1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04DE7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06478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FE1E64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A9B700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C121E5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57208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5A27C7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68E53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32F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客群结构</w:t>
            </w: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6B17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公司客群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935B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公司有效客户数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BBF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7BAD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1A682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E211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EAB73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54D3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1EF7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C97A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43C4F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7B86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0FDC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35D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16F4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58B8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新增有效客户数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AB617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F58A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178F2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A6E2B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1A11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AF501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A689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EBB0A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A32C2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1FEFBF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77B7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80DA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FFFC6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DA4D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128DD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FD0BA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95510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0099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F447A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DFB88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EA167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1B0C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49E90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AB48B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8FF05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E044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A4B1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8DA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其中：大中有效授信客户数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C21D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38C11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11F6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EAA0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4092D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B403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7E50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646C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FE03B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0AC3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4DBB9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8951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5B55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8712C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中小有效授信客户数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B2AD7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7D58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CA294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4A30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2C83C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AECC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2EF28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DBED9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31A68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3D663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C366C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DB7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4607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7E9C8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基石客户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EE9FA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1F9C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A243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FAA6B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6B52E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EB0E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F4F65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84199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3DF3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09A58B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00DE4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6721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30A2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8078A0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产融协同客户数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A0006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5B9EE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F3C6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8D6BF1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778BD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A0E1D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86A7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F4FB8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B2AA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7FF0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B8B0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4BA03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A754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零售客群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0B87F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2C5A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C9B6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2B7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FDE1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A5417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833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C61EE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26799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FB93D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8DAD0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FA88D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EF5D1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9C408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1EB73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零售中高端客户数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157A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2621F7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0762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B87D5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1ECFD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095C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0464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3C453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E7B4E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0683B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E5F9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5D98F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CC6C9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00A93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代发客户数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3E9A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C4A5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C34F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3ED81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31CF1B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EB2F4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E34D6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7EAB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B3DB0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87374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FF9D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4B20E0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F6D3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C6EB6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零售高净值客户数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3461D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9A7B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BA697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E4803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95774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6D335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DEA2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E86EA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A26A7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4AC2A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020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F2AA6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60F3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其他</w:t>
            </w: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B4D2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手机银行客户数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6F4D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419C9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E911ED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50540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96142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B96B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4263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9E2D0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60013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A97A7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13E54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52C3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EFF3E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0E85D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润E企用户数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266A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万户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34DC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4B5A9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29BDA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5C539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DF3B7F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0F5CB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A298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EE5DA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43DD5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AAC8D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7D0A7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B9832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89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85D7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现金管理客户数</w:t>
            </w: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23E5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户数</w:t>
            </w:r>
          </w:p>
        </w:tc>
        <w:tc>
          <w:tcPr>
            <w:tcW w:w="660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8060D8">
            <w:pPr>
              <w:keepNext w:val="0"/>
              <w:keepLines w:val="0"/>
              <w:widowControl/>
              <w:suppressLineNumbers w:val="0"/>
              <w:spacing w:line="23" w:lineRule="atLeast"/>
              <w:ind w:firstLine="361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EB0C48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D1E86C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4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DAFE7D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0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3437BC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53EB08">
            <w:pPr>
              <w:keepNext w:val="0"/>
              <w:keepLines w:val="0"/>
              <w:widowControl/>
              <w:suppressLineNumbers w:val="0"/>
              <w:spacing w:line="23" w:lineRule="atLeast"/>
              <w:ind w:firstLine="361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6403F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772D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52AD339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15E8B38D">
      <w:pPr>
        <w:keepNext w:val="0"/>
        <w:keepLines w:val="0"/>
        <w:widowControl/>
        <w:suppressLineNumbers w:val="0"/>
        <w:spacing w:before="120" w:after="120"/>
        <w:ind w:left="0" w:right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38B0FA31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"D:\\work-2026\\AI-test\\华润-战略部数据应用-LAB\\shots\\bank08.png"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2" o:spt="75" alt="D:\work-2026\AI-test\华润-战略部数据应用-LAB\shots\bank08.png" type="#_x0000_t75" style="height:294pt;width:440pt;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3291C51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2.1.2.9　09-风险情况　</w:t>
      </w:r>
      <w:r>
        <w:rPr>
          <w:rStyle w:val="254"/>
          <w:b/>
          <w:bCs/>
          <w:shd w:val="clear" w:fill="FFFFFF"/>
        </w:rPr>
        <w:t>15 项指标</w:t>
      </w:r>
    </w:p>
    <w:p w14:paraId="1BF781A3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（1）报表基本信息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371"/>
        <w:gridCol w:w="3680"/>
        <w:gridCol w:w="1162"/>
        <w:gridCol w:w="2933"/>
      </w:tblGrid>
      <w:tr w14:paraId="242C3E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920F4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左侧菜单名称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68D5A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09-风险情况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E39116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页面标题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EE138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风险情况</w:t>
            </w:r>
          </w:p>
        </w:tc>
      </w:tr>
      <w:tr w14:paraId="5E262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FE6B36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更新频率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F672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月度（数据日期下拉为 1~12 月）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42CA6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指标行数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65EF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15 行</w:t>
            </w:r>
          </w:p>
        </w:tc>
      </w:tr>
      <w:tr w14:paraId="44351C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F94A6B5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指标概览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41167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4 张卡片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1790293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明细表列数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7DEEF11">
            <w:pPr>
              <w:keepNext w:val="0"/>
              <w:keepLines w:val="0"/>
              <w:widowControl/>
              <w:suppressLineNumbers w:val="0"/>
              <w:spacing w:line="23" w:lineRule="atLeast"/>
              <w:ind w:firstLine="480" w:firstLineChars="20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11 列（含指标名称等结构列）</w:t>
            </w:r>
          </w:p>
        </w:tc>
      </w:tr>
      <w:tr w14:paraId="12CFF6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749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7ACEDB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数据起始期间</w:t>
            </w:r>
          </w:p>
        </w:tc>
        <w:tc>
          <w:tcPr>
            <w:tcW w:w="201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4305083">
            <w:pPr>
              <w:keepNext w:val="0"/>
              <w:keepLines w:val="0"/>
              <w:widowControl/>
              <w:suppressLineNumbers w:val="0"/>
              <w:spacing w:line="23" w:lineRule="atLeast"/>
              <w:jc w:val="both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2024 ～ 当前年度，默认选中当前年度</w:t>
            </w:r>
          </w:p>
        </w:tc>
        <w:tc>
          <w:tcPr>
            <w:tcW w:w="635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F2CD96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  <w:t>导出</w:t>
            </w:r>
          </w:p>
        </w:tc>
        <w:tc>
          <w:tcPr>
            <w:tcW w:w="160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6E2D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面板右上角「📥 导出」按钮</w:t>
            </w:r>
          </w:p>
        </w:tc>
      </w:tr>
    </w:tbl>
    <w:p w14:paraId="35EE89F4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（2）指标概览卡片</w:t>
      </w:r>
    </w:p>
    <w:p w14:paraId="72AC5CEB">
      <w:pPr>
        <w:pStyle w:val="1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面板顶部共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4 张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指标概览卡片，各卡片的指标与展示内容如下：</w:t>
      </w:r>
    </w:p>
    <w:p w14:paraId="381E07D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卡片1·不良贷款率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86EB9A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卡片2·个贷不良率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785CE7C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卡片3·拨备覆盖率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（单位：%）、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677D7BC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卡片4·不良资产处置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：展示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截止本月末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（单位：亿元）、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同比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、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较年初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09C338F9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（3）导出说明</w:t>
      </w:r>
    </w:p>
    <w:p w14:paraId="5245D59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：导出表头与数据展示保持和系统页面一致；</w:t>
      </w:r>
    </w:p>
    <w:p w14:paraId="36B96420">
      <w:pPr>
        <w:keepNext w:val="0"/>
        <w:keepLines w:val="0"/>
        <w:widowControl/>
        <w:numPr>
          <w:ilvl w:val="0"/>
          <w:numId w:val="26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「华润银行-报表名称-数据期间.xlsx」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；数据期间月度报表为「年-月」、季度报表为「年Q季」（如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华润银行-09-风险情况-2026-08.xlsx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60E0B6F0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（4）指标明细说明</w:t>
      </w:r>
    </w:p>
    <w:p w14:paraId="7947B9B3">
      <w:pPr>
        <w:keepNext w:val="0"/>
        <w:keepLines w:val="0"/>
        <w:widowControl/>
        <w:suppressLineNumbers w:val="0"/>
        <w:spacing w:before="120" w:after="120"/>
        <w:ind w:left="0" w:right="0"/>
      </w:pPr>
      <w:r>
        <w:rPr>
          <w:rFonts w:hint="eastAsia" w:ascii="宋体" w:hAnsi="宋体" w:eastAsia="宋体" w:cs="宋体"/>
        </w:rPr>
        <w:t xml:space="preserve">下表展示本报表页面的全部表头与对应指标清单，不显示具体指标值：指标在当前列不适用时，对应单元格以 </w:t>
      </w:r>
      <w:r>
        <w:rPr>
          <w:rStyle w:val="256"/>
          <w:rFonts w:hint="eastAsia" w:ascii="宋体" w:hAnsi="宋体" w:eastAsia="宋体" w:cs="宋体"/>
          <w:color w:val="FF0000"/>
          <w:lang w:eastAsia="zh-CN"/>
        </w:rPr>
        <w:t>×</w:t>
      </w:r>
      <w:r>
        <w:rPr>
          <w:rFonts w:hint="eastAsia" w:ascii="宋体" w:hAnsi="宋体" w:eastAsia="宋体" w:cs="宋体"/>
          <w:color w:val="FF0000"/>
        </w:rPr>
        <w:t xml:space="preserve"> 标记；空白单元格表示该指标在对应列有数值；</w:t>
      </w:r>
    </w:p>
    <w:tbl>
      <w:tblPr>
        <w:tblStyle w:val="14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56"/>
        <w:gridCol w:w="753"/>
        <w:gridCol w:w="1633"/>
        <w:gridCol w:w="720"/>
        <w:gridCol w:w="1047"/>
        <w:gridCol w:w="604"/>
        <w:gridCol w:w="458"/>
        <w:gridCol w:w="458"/>
        <w:gridCol w:w="610"/>
        <w:gridCol w:w="753"/>
        <w:gridCol w:w="901"/>
        <w:gridCol w:w="753"/>
      </w:tblGrid>
      <w:tr w14:paraId="654C76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1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EA685BA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序号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B50E581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指标分类</w:t>
            </w:r>
          </w:p>
        </w:tc>
        <w:tc>
          <w:tcPr>
            <w:tcW w:w="9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4656A8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指标名称</w:t>
            </w:r>
          </w:p>
        </w:tc>
        <w:tc>
          <w:tcPr>
            <w:tcW w:w="26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64C551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单位</w:t>
            </w:r>
          </w:p>
        </w:tc>
        <w:tc>
          <w:tcPr>
            <w:tcW w:w="58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D9ED36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指标属性标签</w:t>
            </w:r>
          </w:p>
        </w:tc>
        <w:tc>
          <w:tcPr>
            <w:tcW w:w="342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460547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去年末</w:t>
            </w:r>
          </w:p>
        </w:tc>
        <w:tc>
          <w:tcPr>
            <w:tcW w:w="869" w:type="pct"/>
            <w:gridSpan w:val="3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32F9860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截止本月末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BDDA744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全年预算</w:t>
            </w:r>
          </w:p>
        </w:tc>
        <w:tc>
          <w:tcPr>
            <w:tcW w:w="504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00182CAB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预算达成率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0161B5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时间类型</w:t>
            </w:r>
          </w:p>
        </w:tc>
      </w:tr>
      <w:tr w14:paraId="4D8EE6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261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891B49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B967613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3A21C1A5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53D05DD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8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DDD2848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342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84EEF6A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9145877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实际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06D5722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同比</w:t>
            </w: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63EB9A63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  <w:t>较年初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7109E190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50984D3B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E8ECF1"/>
            <w:vAlign w:val="center"/>
          </w:tcPr>
          <w:p w14:paraId="275CFD52">
            <w:pPr>
              <w:jc w:val="center"/>
              <w:rPr>
                <w:rFonts w:hint="eastAsia" w:ascii="宋体" w:hAnsi="宋体" w:eastAsia="宋体" w:cs="宋体"/>
                <w:b/>
                <w:bCs/>
                <w:color w:val="000000"/>
                <w:sz w:val="18"/>
                <w:szCs w:val="24"/>
              </w:rPr>
            </w:pPr>
          </w:p>
        </w:tc>
      </w:tr>
      <w:tr w14:paraId="6EFF5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C8689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</w:t>
            </w:r>
          </w:p>
        </w:tc>
        <w:tc>
          <w:tcPr>
            <w:tcW w:w="423" w:type="pct"/>
            <w:vMerge w:val="restar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C45E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风险情况</w:t>
            </w: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C9610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正常类贷款余额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61586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21A5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D3E7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A73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AB36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53AA36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40BB8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F026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D57AD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1AEAC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F8957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2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04B12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8B4F6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关注类贷款余额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F97CF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36218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DC9AE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3EEC68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CE55BB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204A95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155EF5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14C72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F6F6C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8C2C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88AC7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3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C91C1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224B0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次级类贷款余额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C3A52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82C4BC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66FEBE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B92B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895ED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C693BF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B43D4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CFF804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C7BD32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35196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77B1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4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61FBB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1241F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可疑类贷款余额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67BC9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A0787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C75F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8312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5D66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F291D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5314A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98B4F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963943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C855B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63A9B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5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FD648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E0F0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损失类贷款余额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3F238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265A91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2E03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DC3D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A6255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6F5CBB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BD2505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8A745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12B18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9CA22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1C232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6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BA8048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E1E7E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信用减值损失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0AE1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242146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8DBA6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8F557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A53F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61B64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3C5CF2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36B36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752FFD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7E8EEF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F6E4EF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7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0F81B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3A8B0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公司贷款信用损失准备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3B6EC1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92BC2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86322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0310B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8629A30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0E64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9D34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097CDE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6A158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2C3816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DA5DD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8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7D31C4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3CD1C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零售贷款信用损失准备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7FE6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C250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D0E38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DE6DD0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99EC6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05F8936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31BA61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3397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B0581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120410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5CC86F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9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A0E1AC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75E4B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不良资产率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A3CE5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84680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591EF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43AC46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8FB52E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969BAF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64C76C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321E2C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851D7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34577D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D00FF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10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EFEFED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30C38C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不良贷款率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0FF4158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56FF44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A13051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4BDF3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54AC31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328B92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27B526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4E85D7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9175E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67B55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D9112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11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BDB90C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291EAF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个贷不良率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94D1D4B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2A9234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F13AD7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202B96D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C3714E4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2E212A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D9F1B38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DFA3B6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7558D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454EBA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C31A9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12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B39D1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13492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小额不良生成率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41ECC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B43A750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7BF27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48A20BF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DE4F8B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9C2497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267A8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91D1E7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744B8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571520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18C668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13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58DF1B3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11C79B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不良资产处置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2A9C955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1B1417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考核指标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A7AC577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026D615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AE935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752CE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4BC173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B50EEF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B4B7CE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期间指标</w:t>
            </w:r>
          </w:p>
        </w:tc>
      </w:tr>
      <w:tr w14:paraId="45CB7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AD80D0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14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EC034D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3AFD18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拨备覆盖率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67BA75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%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0B732F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C0CE78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4F1F19C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5C21A2E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3EA19FA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6881AC1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BAB1DC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EA6402E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  <w:tr w14:paraId="7881A6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outset" w:color="auto" w:sz="6" w:space="0"/>
            <w:insideV w:val="outset" w:color="auto" w:sz="6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261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E8FB2B2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15</w:t>
            </w:r>
          </w:p>
        </w:tc>
        <w:tc>
          <w:tcPr>
            <w:tcW w:w="423" w:type="pct"/>
            <w:vMerge w:val="continue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29AFCEC9">
            <w:pP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9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F1030AF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对公新增风险管控额</w:t>
            </w: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B9D5D72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亿元</w:t>
            </w:r>
          </w:p>
        </w:tc>
        <w:tc>
          <w:tcPr>
            <w:tcW w:w="58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6F4F11C3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高质量指标</w:t>
            </w:r>
          </w:p>
        </w:tc>
        <w:tc>
          <w:tcPr>
            <w:tcW w:w="34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EAB7068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4AE3102F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262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04FBF7B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34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79169F90">
            <w:pPr>
              <w:ind w:firstLine="360" w:firstLineChars="200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182D84BB">
            <w:pPr>
              <w:keepNext w:val="0"/>
              <w:keepLines w:val="0"/>
              <w:widowControl/>
              <w:suppressLineNumbers w:val="0"/>
              <w:spacing w:line="23" w:lineRule="atLeast"/>
              <w:ind w:firstLine="361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504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071D4A0D">
            <w:pPr>
              <w:keepNext w:val="0"/>
              <w:keepLines w:val="0"/>
              <w:widowControl/>
              <w:suppressLineNumbers w:val="0"/>
              <w:spacing w:line="23" w:lineRule="atLeast"/>
              <w:ind w:firstLine="361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  <w:lang w:eastAsia="zh-CN"/>
              </w:rPr>
            </w:pPr>
            <w:r>
              <w:rPr>
                <w:rStyle w:val="256"/>
                <w:rFonts w:hint="eastAsia" w:ascii="宋体" w:hAnsi="宋体" w:eastAsia="宋体" w:cs="宋体"/>
                <w:color w:val="FF0000"/>
                <w:sz w:val="18"/>
                <w:szCs w:val="24"/>
                <w:lang w:eastAsia="zh-CN"/>
              </w:rPr>
              <w:t>×</w:t>
            </w:r>
          </w:p>
        </w:tc>
        <w:tc>
          <w:tcPr>
            <w:tcW w:w="423" w:type="pct"/>
            <w:tcBorders>
              <w:top w:val="outset" w:color="auto" w:sz="6" w:space="0"/>
              <w:left w:val="outset" w:color="auto" w:sz="6" w:space="0"/>
              <w:bottom w:val="outset" w:color="auto" w:sz="6" w:space="0"/>
              <w:right w:val="outset" w:color="auto" w:sz="6" w:space="0"/>
            </w:tcBorders>
            <w:shd w:val="clear" w:color="auto" w:fill="auto"/>
            <w:vAlign w:val="center"/>
          </w:tcPr>
          <w:p w14:paraId="57ECEFF6">
            <w:pPr>
              <w:keepNext w:val="0"/>
              <w:keepLines w:val="0"/>
              <w:widowControl/>
              <w:suppressLineNumbers w:val="0"/>
              <w:spacing w:line="23" w:lineRule="atLeast"/>
              <w:ind w:firstLine="360" w:firstLineChars="200"/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24"/>
              </w:rPr>
              <w:t>时点指标</w:t>
            </w:r>
          </w:p>
        </w:tc>
      </w:tr>
    </w:tbl>
    <w:p w14:paraId="117EDAAC">
      <w:pPr>
        <w:pStyle w:val="7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（5）系统原型示意图</w:t>
      </w:r>
    </w:p>
    <w:p w14:paraId="391A461A">
      <w:pPr>
        <w:keepNext w:val="0"/>
        <w:keepLines w:val="0"/>
        <w:widowControl/>
        <w:suppressLineNumbers w:val="0"/>
        <w:spacing w:before="120" w:after="120"/>
        <w:ind w:left="0" w:right="0" w:firstLine="420" w:firstLineChars="20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37F1682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"D:\\work-2026\\AI-test\\华润-战略部数据应用-LAB\\shots\\bank09.png"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3" o:spt="75" alt="D:\work-2026\AI-test\华润-战略部数据应用-LAB\shots\bank09.png" type="#_x0000_t75" style="height:305.25pt;width:440pt;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4470CF5">
      <w:pPr>
        <w:pStyle w:val="4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6" w:name="_Toc24151"/>
      <w:r>
        <w:rPr>
          <w:shd w:val="clear" w:fill="FFFFFF"/>
        </w:rPr>
        <w:t>2.2　报表台账管理需求说明</w:t>
      </w:r>
      <w:bookmarkEnd w:id="6"/>
    </w:p>
    <w:p w14:paraId="4AC34908">
      <w:pPr>
        <w:pStyle w:val="71"/>
        <w:keepNext w:val="0"/>
        <w:keepLines w:val="0"/>
        <w:widowControl/>
        <w:suppressLineNumbers w:val="0"/>
        <w:spacing w:before="80" w:beforeAutospacing="0" w:after="80" w:afterAutospacing="0" w:line="23" w:lineRule="atLeast"/>
        <w:ind w:left="0" w:right="0"/>
      </w:pPr>
      <w:r>
        <w:rPr>
          <w:rFonts w:hint="eastAsia" w:ascii="宋体" w:hAnsi="宋体" w:eastAsia="宋体" w:cs="宋体"/>
          <w:sz w:val="24"/>
          <w:szCs w:val="24"/>
          <w:shd w:val="clear" w:fill="FFFFFF"/>
        </w:rPr>
        <w:t>本节约定平台「报表台账管理」一级菜单下华润银行 9 张报表台账的页面结构、取数与展示规则。台账与固定报表同源取数，按年度横向展开各月末值，供业务逐年回溯核对。</w:t>
      </w:r>
    </w:p>
    <w:p w14:paraId="3985B6CC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2.2.1　模块定位与入口</w:t>
      </w:r>
    </w:p>
    <w:p w14:paraId="1DBCE93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菜单层级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：「报表台账管理」为一级菜单，与「固定报表管理」同级；结构为 报表台账管理 → 公司分组（华润银行）→ 各报表台账，菜单名 = 报表名称 +「台账」（如「01-资产负债简表台账」）。</w:t>
      </w:r>
    </w:p>
    <w:p w14:paraId="2CDAD1C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：台账菜单采用金色主题；一级菜单固定展开、不可收起（与固定报表管理一致）。</w:t>
      </w:r>
    </w:p>
    <w:p w14:paraId="14FBB466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2.2.2　台账页面结构</w:t>
      </w:r>
    </w:p>
    <w:p w14:paraId="7686D880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台账头部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：面板标题为「报表名称 · 年度台账」；右侧为更新频率块、📅 数据年度下拉、「导出」按钮。</w:t>
      </w:r>
    </w:p>
    <w:p w14:paraId="6567C3E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台账表格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单级表头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 = 结构列（序号、指标分类、指标分项、指标名称、单位；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不显示指标属性标签列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）+ 各月「N月末」/各季「QN」单列；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不设同比列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1B38320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结构列合并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：指标分类/指标分项沿用固定报表的 rowspan 纵向合并规则（仅保留结构列内的合并）。</w:t>
      </w:r>
    </w:p>
    <w:p w14:paraId="0C99DE97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2.2.3　台账取数与展示规则</w:t>
      </w:r>
    </w:p>
    <w:p w14:paraId="6380E9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取数列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：取固定报表「截止本月末-实际」列（季度表为「截止本季末-实际」）作为各月末台账值；与固定报表同源取数。</w:t>
      </w:r>
    </w:p>
    <w:p w14:paraId="26DC5AE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>可选范围 2024 ～ 当前年度，默认选中当前年度。</w:t>
      </w:r>
    </w:p>
    <w:p w14:paraId="3980961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月度报表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>默认选中日历上月（有数据）；若当前为 1 月，则默认选中上一年 12 月（年份随之联动为上一年）。</w:t>
      </w:r>
    </w:p>
    <w:p w14:paraId="4D416B1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季度报表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</w:t>
      </w:r>
      <w:r>
        <w:rPr>
          <w:rStyle w:val="255"/>
          <w:rFonts w:hint="eastAsia" w:ascii="宋体" w:hAnsi="宋体" w:eastAsia="宋体" w:cs="宋体"/>
          <w:b w:val="0"/>
          <w:bCs w:val="0"/>
          <w:sz w:val="24"/>
          <w:szCs w:val="24"/>
        </w:rPr>
        <w:t>默认选中上一个已完结季度；若当前在 1~3 月，上一个已完结季度为上一年 Q4。</w:t>
      </w:r>
    </w:p>
    <w:p w14:paraId="6A47578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缺数口径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：台账口径下所有指标均应有月末值；仅个别月份未取到数（源值空、-、非数值）→ 统一 </w:t>
      </w:r>
      <w:r>
        <w:rPr>
          <w:rStyle w:val="19"/>
        </w:rPr>
        <w:t>N/A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不用 --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。</w:t>
      </w:r>
    </w:p>
    <w:p w14:paraId="36BB6A19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2.2.4　台账查询与导出</w:t>
      </w:r>
    </w:p>
    <w:p w14:paraId="2B3B95D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年度查询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：仅年度下拉（无月份）；切换年度仅重渲染当前台账面板，toast 提示「已加载 YYYY 年 1—M 月台账 · 报表标题」。</w:t>
      </w:r>
    </w:p>
    <w:p w14:paraId="758E873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：台账头部「导出」按钮导出当前年度台账表（演示占位，正式环境对接导出接口）。</w:t>
      </w:r>
    </w:p>
    <w:p w14:paraId="53F0FBC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导出样式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：导出表头与数据展示保持和系统页面一致（结构列 + 各月「N月末」/各季「QN」单列，不含同比列与指标属性标签列）；</w:t>
      </w:r>
    </w:p>
    <w:p w14:paraId="42CCA5A5">
      <w:pPr>
        <w:keepNext w:val="0"/>
        <w:keepLines w:val="0"/>
        <w:widowControl/>
        <w:numPr>
          <w:ilvl w:val="0"/>
          <w:numId w:val="30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导出文件名称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：统一为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「华润银行-报表名称台账-数据年度年.xlsx」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 xml:space="preserve">；数据年度为当前所选台账年度（如 </w:t>
      </w:r>
      <w:r>
        <w:rPr>
          <w:rStyle w:val="255"/>
          <w:rFonts w:hint="eastAsia" w:ascii="宋体" w:hAnsi="宋体" w:eastAsia="宋体" w:cs="宋体"/>
          <w:sz w:val="24"/>
          <w:szCs w:val="24"/>
        </w:rPr>
        <w:t>华润银行-01-资产负债简表台账-2026年.xlsx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）。</w:t>
      </w:r>
    </w:p>
    <w:p w14:paraId="27303B42">
      <w:pPr>
        <w:pStyle w:val="5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2.2.5　系统原型示意图</w:t>
      </w:r>
    </w:p>
    <w:p w14:paraId="2FE854E0">
      <w:pPr>
        <w:keepNext w:val="0"/>
        <w:keepLines w:val="0"/>
        <w:widowControl/>
        <w:suppressLineNumbers w:val="0"/>
        <w:spacing w:before="120" w:after="120"/>
        <w:ind w:left="0" w:right="0" w:firstLine="420" w:firstLineChars="20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color w:val="000000" w:themeColor="text1"/>
          <w:lang w:eastAsia="zh-CN"/>
        </w:rPr>
        <w:t xml:space="preserve"> 以下截图取自当前系统页面实机界面（演示数据；下拉、按钮等控件为页面原样 ）。</w:t>
      </w:r>
    </w:p>
    <w:p w14:paraId="6FAF2490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01-资产负债简表台账</w:t>
      </w:r>
    </w:p>
    <w:p w14:paraId="265EEBD6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"D:\\work-2026\\AI-test\\华润-战略部数据应用-LAB\\shots\\bank_led01.png"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4" o:spt="75" alt="D:\work-2026\AI-test\华润-战略部数据应用-LAB\shots\bank_led01.png" type="#_x0000_t75" style="height:291.75pt;width:440pt;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93ED96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02-损益表简表台账</w:t>
      </w:r>
    </w:p>
    <w:p w14:paraId="3BCDC63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"D:\\work-2026\\AI-test\\华润-战略部数据应用-LAB\\shots\\bank_led02.png"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5" o:spt="75" alt="D:\work-2026\AI-test\华润-战略部数据应用-LAB\shots\bank_led02.png" type="#_x0000_t75" style="height:291.75pt;width:440pt;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62021E3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03-关键监测指标台账</w:t>
      </w:r>
    </w:p>
    <w:p w14:paraId="2B3B2CEC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"D:\\work-2026\\AI-test\\华润-战略部数据应用-LAB\\shots\\bank_led03.png"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6" o:spt="75" alt="D:\work-2026\AI-test\华润-战略部数据应用-LAB\shots\bank_led03.png" type="#_x0000_t75" style="height:291.75pt;width:440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A86EE0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04-收入结构台账</w:t>
      </w:r>
    </w:p>
    <w:p w14:paraId="239C64BF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"D:\\work-2026\\AI-test\\华润-战略部数据应用-LAB\\shots\\bank_led04.png"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7" o:spt="75" alt="D:\work-2026\AI-test\华润-战略部数据应用-LAB\shots\bank_led04.png" type="#_x0000_t75" style="height:291.75pt;width:440pt;" filled="f" o:preferrelative="t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72EB8B5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05-成本结构台账</w:t>
      </w:r>
    </w:p>
    <w:p w14:paraId="52412ABC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"D:\\work-2026\\AI-test\\华润-战略部数据应用-LAB\\shots\\bank_led05.png"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8" o:spt="75" alt="D:\work-2026\AI-test\华润-战略部数据应用-LAB\shots\bank_led05.png" type="#_x0000_t75" style="height:291.75pt;width:440pt;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00DB8CBC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06-存贷结构台账</w:t>
      </w:r>
    </w:p>
    <w:p w14:paraId="05734646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"D:\\work-2026\\AI-test\\华润-战略部数据应用-LAB\\shots\\bank_led06.png"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39" o:spt="75" alt="D:\work-2026\AI-test\华润-战略部数据应用-LAB\shots\bank_led06.png" type="#_x0000_t75" style="height:386.25pt;width:440pt;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780620AD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07-利率结构台账</w:t>
      </w:r>
    </w:p>
    <w:p w14:paraId="5CE84BC7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"D:\\work-2026\\AI-test\\华润-战略部数据应用-LAB\\shots\\bank_led07.png"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0" o:spt="75" alt="D:\work-2026\AI-test\华润-战略部数据应用-LAB\shots\bank_led07.png" type="#_x0000_t75" style="height:291.75pt;width:440pt;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1A1472B7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08-客群结构台账</w:t>
      </w:r>
    </w:p>
    <w:p w14:paraId="2E4864BF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"D:\\work-2026\\AI-test\\华润-战略部数据应用-LAB\\shots\\bank_led08.png"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1" o:spt="75" alt="D:\work-2026\AI-test\华润-战略部数据应用-LAB\shots\bank_led08.png" type="#_x0000_t75" style="height:291.75pt;width:440pt;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399ABD2F">
      <w:pPr>
        <w:pStyle w:val="6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r>
        <w:rPr>
          <w:shd w:val="clear" w:fill="FFFFFF"/>
        </w:rPr>
        <w:t>09-风险情况台账</w:t>
      </w:r>
    </w:p>
    <w:p w14:paraId="29A74824">
      <w:pPr>
        <w:pStyle w:val="13"/>
        <w:keepNext w:val="0"/>
        <w:keepLines w:val="0"/>
        <w:widowControl/>
        <w:suppressLineNumbers w:val="0"/>
        <w:spacing w:before="160" w:beforeAutospacing="0" w:after="160" w:afterAutospacing="0" w:line="23" w:lineRule="atLeast"/>
        <w:ind w:left="0" w:right="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instrText xml:space="preserve">INCLUDEPICTURE \d "D:\\work-2026\\AI-test\\华润-战略部数据应用-LAB\\shots\\bank_led09.png" \* MERGEFORMATINET </w:instrTex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separate"/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pict>
          <v:shape id="_x0000_i1042" o:spt="75" alt="D:\work-2026\AI-test\华润-战略部数据应用-LAB\shots\bank_led09.png" type="#_x0000_t75" style="height:291.75pt;width:440pt;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  <w:r>
        <w:rPr>
          <w:rFonts w:hint="eastAsia" w:ascii="宋体" w:hAnsi="宋体" w:eastAsia="宋体" w:cs="宋体"/>
          <w:color w:val="000000"/>
          <w:sz w:val="24"/>
          <w:szCs w:val="24"/>
          <w:bdr w:val="single" w:color="7F7F7F" w:sz="4" w:space="0"/>
          <w:shd w:val="clear" w:fill="FFFFFF"/>
        </w:rPr>
        <w:fldChar w:fldCharType="end"/>
      </w:r>
    </w:p>
    <w:p w14:paraId="2FA24D7D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7" w:name="_Toc19785"/>
      <w:r>
        <w:rPr>
          <w:shd w:val="clear" w:fill="FFFFFF"/>
        </w:rPr>
        <w:t>三、权限说明</w:t>
      </w:r>
      <w:bookmarkEnd w:id="7"/>
    </w:p>
    <w:p w14:paraId="20DCF6F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菜单权限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：华润银行报表挂接于平台「数据应用 → 固定报表管理」菜单下，其对应报表台账挂接于一级菜单「报表台账管理」下（与固定报表管理同级，结构为 报表台账管理 → 公司分组 → 各报表台账）；两者查看权限均遵循平台统一的角色-菜单权限管理，用户获授「固定报表管理 → 华润银行」「报表台账管理 → 华润银行」菜单权限后方可进入查看。为全体战略部人员开放固定报表管理与报表台账管理模块权限。</w:t>
      </w:r>
    </w:p>
    <w:p w14:paraId="5E4FF78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数据范围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：报表数据为华润银行全量指标体系范围，暂不划分数据范围。</w:t>
      </w:r>
    </w:p>
    <w:p w14:paraId="67B48FC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功能权限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：支持战略部全体人员筛选和导出功能。</w:t>
      </w:r>
    </w:p>
    <w:p w14:paraId="4C1F456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40" w:beforeAutospacing="0" w:after="40" w:afterAutospacing="0" w:line="23" w:lineRule="atLeast"/>
        <w:ind w:left="360" w:right="0" w:hanging="360"/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fill="FFFFFF"/>
        </w:rPr>
        <w:t>维护权限</w:t>
      </w:r>
      <w:r>
        <w:rPr>
          <w:rFonts w:hint="eastAsia" w:ascii="宋体" w:hAnsi="宋体" w:eastAsia="宋体" w:cs="宋体"/>
          <w:color w:val="000000"/>
          <w:sz w:val="24"/>
          <w:szCs w:val="24"/>
          <w:shd w:val="clear" w:fill="FFFFFF"/>
        </w:rPr>
        <w:t>：全年预算等报送类数据由业务人员在通用报送平台维护，本模块只读展示，不提供数据维护入口。</w:t>
      </w:r>
    </w:p>
    <w:p w14:paraId="2B097EC6">
      <w:pPr>
        <w:pStyle w:val="3"/>
        <w:keepNext w:val="0"/>
        <w:keepLines w:val="0"/>
        <w:widowControl/>
        <w:suppressLineNumbers w:val="0"/>
        <w:spacing w:before="0" w:beforeAutospacing="0" w:after="0" w:afterAutospacing="0" w:line="23" w:lineRule="atLeast"/>
        <w:ind w:left="0" w:right="0"/>
      </w:pPr>
      <w:bookmarkStart w:id="8" w:name="_Toc32541"/>
      <w:r>
        <w:rPr>
          <w:shd w:val="clear" w:fill="FFFFFF"/>
        </w:rPr>
        <w:t>四、业务确认</w:t>
      </w:r>
      <w:bookmarkEnd w:id="8"/>
      <w:bookmarkStart w:id="9" w:name="_GoBack"/>
      <w:bookmarkEnd w:id="9"/>
    </w:p>
    <w:tbl>
      <w:tblPr>
        <w:tblStyle w:val="14"/>
        <w:tblW w:w="51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091"/>
        <w:gridCol w:w="2251"/>
        <w:gridCol w:w="1664"/>
        <w:gridCol w:w="1679"/>
        <w:gridCol w:w="1875"/>
      </w:tblGrid>
      <w:tr w14:paraId="47688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  <w:tblHeader/>
        </w:trPr>
        <w:tc>
          <w:tcPr>
            <w:tcW w:w="1093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CEC3D48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确认角色</w:t>
            </w:r>
          </w:p>
        </w:tc>
        <w:tc>
          <w:tcPr>
            <w:tcW w:w="1177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EC130BE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公司-部门</w:t>
            </w:r>
          </w:p>
        </w:tc>
        <w:tc>
          <w:tcPr>
            <w:tcW w:w="87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16D1B0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确认人（签字）</w:t>
            </w:r>
          </w:p>
        </w:tc>
        <w:tc>
          <w:tcPr>
            <w:tcW w:w="878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2E1A3ABD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日期</w:t>
            </w:r>
          </w:p>
        </w:tc>
        <w:tc>
          <w:tcPr>
            <w:tcW w:w="980" w:type="pct"/>
            <w:shd w:val="clear" w:color="auto" w:fill="E8ECF1"/>
            <w:noWrap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FC700AF">
            <w:pPr>
              <w:keepNext w:val="0"/>
              <w:keepLines w:val="0"/>
              <w:widowControl/>
              <w:suppressLineNumbers w:val="0"/>
              <w:spacing w:line="23" w:lineRule="atLeast"/>
              <w:jc w:val="center"/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 w:themeColor="text1"/>
                <w:sz w:val="18"/>
                <w:szCs w:val="18"/>
              </w:rPr>
              <w:t>确认意见</w:t>
            </w:r>
          </w:p>
        </w:tc>
      </w:tr>
      <w:tr w14:paraId="50FEF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093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D1E532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需求提出负责人</w:t>
            </w:r>
          </w:p>
        </w:tc>
        <w:tc>
          <w:tcPr>
            <w:tcW w:w="117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16DB799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华润金控-战略部</w:t>
            </w:r>
          </w:p>
        </w:tc>
        <w:tc>
          <w:tcPr>
            <w:tcW w:w="87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B3D1136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96930AB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B09C90E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436A1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093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C3FE2D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金控数据团队负责人</w:t>
            </w:r>
          </w:p>
        </w:tc>
        <w:tc>
          <w:tcPr>
            <w:tcW w:w="117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B7C745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华润金控-科技部</w:t>
            </w:r>
          </w:p>
        </w:tc>
        <w:tc>
          <w:tcPr>
            <w:tcW w:w="87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EB5CC4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398AB36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FA18D3B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4EF5E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093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1EC51CA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需求开发负责人</w:t>
            </w:r>
          </w:p>
        </w:tc>
        <w:tc>
          <w:tcPr>
            <w:tcW w:w="117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693539F">
            <w:pPr>
              <w:jc w:val="left"/>
              <w:rPr>
                <w:rFonts w:hint="default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华润数科-</w:t>
            </w:r>
          </w:p>
        </w:tc>
        <w:tc>
          <w:tcPr>
            <w:tcW w:w="87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2E6FEF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71B43F9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B56564E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  <w:tr w14:paraId="5D55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60" w:type="dxa"/>
            <w:left w:w="60" w:type="dxa"/>
            <w:bottom w:w="60" w:type="dxa"/>
            <w:right w:w="60" w:type="dxa"/>
          </w:tblCellMar>
        </w:tblPrEx>
        <w:trPr>
          <w:cantSplit/>
        </w:trPr>
        <w:tc>
          <w:tcPr>
            <w:tcW w:w="1093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1B49F3C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  <w:t>需求设计负责人</w:t>
            </w:r>
          </w:p>
        </w:tc>
        <w:tc>
          <w:tcPr>
            <w:tcW w:w="1177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1B4D3D3">
            <w:pPr>
              <w:keepNext w:val="0"/>
              <w:keepLines w:val="0"/>
              <w:widowControl/>
              <w:suppressLineNumbers w:val="0"/>
              <w:spacing w:line="23" w:lineRule="atLeast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000000"/>
                <w:sz w:val="18"/>
                <w:szCs w:val="18"/>
                <w:lang w:val="en-US" w:eastAsia="zh-CN"/>
              </w:rPr>
              <w:t>招商金科-数智研发中心</w:t>
            </w:r>
          </w:p>
          <w:p w14:paraId="0965EA6E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A51A7F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78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7F68EC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980" w:type="pct"/>
            <w:shd w:val="clear" w:color="auto" w:fill="auto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F47F32C">
            <w:pPr>
              <w:jc w:val="left"/>
              <w:rPr>
                <w:rFonts w:hint="eastAsia" w:ascii="宋体" w:hAnsi="宋体" w:eastAsia="宋体" w:cs="宋体"/>
                <w:color w:val="000000"/>
                <w:sz w:val="18"/>
                <w:szCs w:val="18"/>
              </w:rPr>
            </w:pPr>
          </w:p>
        </w:tc>
      </w:tr>
    </w:tbl>
    <w:p w14:paraId="307FCE71">
      <w:pPr>
        <w:pStyle w:val="13"/>
        <w:keepNext w:val="0"/>
        <w:keepLines w:val="0"/>
        <w:widowControl/>
        <w:suppressLineNumbers w:val="0"/>
        <w:spacing w:before="480" w:beforeAutospacing="0" w:after="0" w:afterAutospacing="0" w:line="23" w:lineRule="atLeast"/>
        <w:ind w:left="0" w:right="0"/>
        <w:jc w:val="center"/>
        <w:rPr>
          <w:color w:val="404040"/>
        </w:rPr>
      </w:pPr>
    </w:p>
    <w:sectPr>
      <w:headerReference r:id="rId3" w:type="default"/>
      <w:footerReference r:id="rId4" w:type="default"/>
      <w:pgSz w:w="11906" w:h="16838"/>
      <w:pgMar w:top="1440" w:right="1440" w:bottom="1440" w:left="1440" w:header="800" w:footer="90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A182A2">
    <w:pPr>
      <w:pStyle w:val="9"/>
      <w:jc w:val="center"/>
      <w:rPr>
        <w:rFonts w:hint="eastAsia" w:eastAsiaTheme="minorEastAsia"/>
        <w:sz w:val="18"/>
        <w:lang w:eastAsia="zh-CN"/>
      </w:rPr>
    </w:pPr>
    <w:r>
      <w:rPr>
        <w:rFonts w:hint="eastAsia"/>
        <w:sz w:val="18"/>
        <w:lang w:eastAsia="zh-CN"/>
      </w:rPr>
      <w:t xml:space="preserve">第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PAGE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1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  共 </w:t>
    </w:r>
    <w:r>
      <w:rPr>
        <w:rFonts w:hint="eastAsia"/>
        <w:sz w:val="18"/>
        <w:lang w:eastAsia="zh-CN"/>
      </w:rPr>
      <w:fldChar w:fldCharType="begin"/>
    </w:r>
    <w:r>
      <w:rPr>
        <w:rFonts w:hint="eastAsia"/>
        <w:sz w:val="18"/>
        <w:lang w:eastAsia="zh-CN"/>
      </w:rPr>
      <w:instrText xml:space="preserve"> NUMPAGES  \* MERGEFORMAT </w:instrText>
    </w:r>
    <w:r>
      <w:rPr>
        <w:rFonts w:hint="eastAsia"/>
        <w:sz w:val="18"/>
        <w:lang w:eastAsia="zh-CN"/>
      </w:rPr>
      <w:fldChar w:fldCharType="separate"/>
    </w:r>
    <w:r>
      <w:rPr>
        <w:rFonts w:hint="eastAsia"/>
        <w:sz w:val="18"/>
        <w:lang w:eastAsia="zh-CN"/>
      </w:rPr>
      <w:t>32</w:t>
    </w:r>
    <w:r>
      <w:rPr>
        <w:rFonts w:hint="eastAsia"/>
        <w:sz w:val="18"/>
        <w:lang w:eastAsia="zh-CN"/>
      </w:rPr>
      <w:fldChar w:fldCharType="end"/>
    </w:r>
    <w:r>
      <w:rPr>
        <w:rFonts w:hint="eastAsia"/>
        <w:sz w:val="18"/>
        <w:lang w:eastAsia="zh-CN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BDAF5A">
    <w:pPr>
      <w:pStyle w:val="10"/>
      <w:jc w:val="center"/>
      <w:rPr>
        <w:rFonts w:hint="eastAsia" w:eastAsiaTheme="minorEastAsia"/>
        <w:lang w:eastAsia="zh-CN"/>
      </w:rPr>
    </w:pPr>
    <w:r>
      <w:rPr>
        <w:rFonts w:hint="eastAsia"/>
        <w:sz w:val="18"/>
        <w:lang w:eastAsia="zh-CN"/>
      </w:rPr>
      <w:t>华润银行模块 · 数据应用需求文档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9EFEC4"/>
    <w:multiLevelType w:val="multilevel"/>
    <w:tmpl w:val="819EFEC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9863F3"/>
    <w:multiLevelType w:val="multilevel"/>
    <w:tmpl w:val="8E9863F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03C68AE"/>
    <w:multiLevelType w:val="multilevel"/>
    <w:tmpl w:val="A03C68A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5772027"/>
    <w:multiLevelType w:val="multilevel"/>
    <w:tmpl w:val="A577202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C410B8D"/>
    <w:multiLevelType w:val="multilevel"/>
    <w:tmpl w:val="AC410B8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CC75F2B"/>
    <w:multiLevelType w:val="multilevel"/>
    <w:tmpl w:val="ACC75F2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563C973"/>
    <w:multiLevelType w:val="multilevel"/>
    <w:tmpl w:val="B563C973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FB308C0"/>
    <w:multiLevelType w:val="singleLevel"/>
    <w:tmpl w:val="CFB308C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E38DF14"/>
    <w:multiLevelType w:val="multilevel"/>
    <w:tmpl w:val="DE38DF1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050B2B2C"/>
    <w:multiLevelType w:val="multilevel"/>
    <w:tmpl w:val="050B2B2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0C33B28F"/>
    <w:multiLevelType w:val="multilevel"/>
    <w:tmpl w:val="0C33B28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18A311A0"/>
    <w:multiLevelType w:val="multilevel"/>
    <w:tmpl w:val="18A311A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1C33D8EC"/>
    <w:multiLevelType w:val="multilevel"/>
    <w:tmpl w:val="1C33D8E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1C97C675"/>
    <w:multiLevelType w:val="multilevel"/>
    <w:tmpl w:val="1C97C67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2186B5A6"/>
    <w:multiLevelType w:val="multilevel"/>
    <w:tmpl w:val="2186B5A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26397D6A"/>
    <w:multiLevelType w:val="multilevel"/>
    <w:tmpl w:val="26397D6A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300CF4F0"/>
    <w:multiLevelType w:val="multilevel"/>
    <w:tmpl w:val="300CF4F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31956EC6"/>
    <w:multiLevelType w:val="multilevel"/>
    <w:tmpl w:val="31956EC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6E30143"/>
    <w:multiLevelType w:val="singleLevel"/>
    <w:tmpl w:val="36E3014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37CA20E1"/>
    <w:multiLevelType w:val="multilevel"/>
    <w:tmpl w:val="37CA20E1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380E9C7B"/>
    <w:multiLevelType w:val="multilevel"/>
    <w:tmpl w:val="380E9C7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3CB3329B"/>
    <w:multiLevelType w:val="multilevel"/>
    <w:tmpl w:val="3CB3329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442D9950"/>
    <w:multiLevelType w:val="singleLevel"/>
    <w:tmpl w:val="442D995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4622470B"/>
    <w:multiLevelType w:val="multilevel"/>
    <w:tmpl w:val="4622470B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4857B785"/>
    <w:multiLevelType w:val="multilevel"/>
    <w:tmpl w:val="4857B785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B08EC40"/>
    <w:multiLevelType w:val="multilevel"/>
    <w:tmpl w:val="4B08EC40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4C5285EC"/>
    <w:multiLevelType w:val="multilevel"/>
    <w:tmpl w:val="4C5285EC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53806FC8"/>
    <w:multiLevelType w:val="multilevel"/>
    <w:tmpl w:val="53806FC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56CD69EE"/>
    <w:multiLevelType w:val="multilevel"/>
    <w:tmpl w:val="56CD69EE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A537307"/>
    <w:multiLevelType w:val="multilevel"/>
    <w:tmpl w:val="7A537307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D8AA84D"/>
    <w:multiLevelType w:val="multilevel"/>
    <w:tmpl w:val="7D8AA84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2"/>
  </w:num>
  <w:num w:numId="3">
    <w:abstractNumId w:val="0"/>
  </w:num>
  <w:num w:numId="4">
    <w:abstractNumId w:val="20"/>
  </w:num>
  <w:num w:numId="5">
    <w:abstractNumId w:val="14"/>
  </w:num>
  <w:num w:numId="6">
    <w:abstractNumId w:val="22"/>
  </w:num>
  <w:num w:numId="7">
    <w:abstractNumId w:val="10"/>
  </w:num>
  <w:num w:numId="8">
    <w:abstractNumId w:val="7"/>
  </w:num>
  <w:num w:numId="9">
    <w:abstractNumId w:val="29"/>
  </w:num>
  <w:num w:numId="10">
    <w:abstractNumId w:val="5"/>
  </w:num>
  <w:num w:numId="11">
    <w:abstractNumId w:val="16"/>
  </w:num>
  <w:num w:numId="12">
    <w:abstractNumId w:val="15"/>
  </w:num>
  <w:num w:numId="13">
    <w:abstractNumId w:val="25"/>
  </w:num>
  <w:num w:numId="14">
    <w:abstractNumId w:val="13"/>
  </w:num>
  <w:num w:numId="15">
    <w:abstractNumId w:val="17"/>
  </w:num>
  <w:num w:numId="16">
    <w:abstractNumId w:val="30"/>
  </w:num>
  <w:num w:numId="17">
    <w:abstractNumId w:val="19"/>
  </w:num>
  <w:num w:numId="18">
    <w:abstractNumId w:val="21"/>
  </w:num>
  <w:num w:numId="19">
    <w:abstractNumId w:val="3"/>
  </w:num>
  <w:num w:numId="20">
    <w:abstractNumId w:val="8"/>
  </w:num>
  <w:num w:numId="21">
    <w:abstractNumId w:val="28"/>
  </w:num>
  <w:num w:numId="22">
    <w:abstractNumId w:val="23"/>
  </w:num>
  <w:num w:numId="23">
    <w:abstractNumId w:val="12"/>
  </w:num>
  <w:num w:numId="24">
    <w:abstractNumId w:val="9"/>
  </w:num>
  <w:num w:numId="25">
    <w:abstractNumId w:val="26"/>
  </w:num>
  <w:num w:numId="26">
    <w:abstractNumId w:val="27"/>
  </w:num>
  <w:num w:numId="27">
    <w:abstractNumId w:val="11"/>
  </w:num>
  <w:num w:numId="28">
    <w:abstractNumId w:val="24"/>
  </w:num>
  <w:num w:numId="29">
    <w:abstractNumId w:val="6"/>
  </w:num>
  <w:num w:numId="30">
    <w:abstractNumId w:val="1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ExpandShiftReturn/>
    <w:doNotBreakWrappedTables/>
    <w:doNotWrapTextWithPunct/>
    <w:doNotUseEastAsianBreakRules/>
    <w:growAutofit/>
    <w:useFELayout/>
    <w:doNotUseIndentAsNumberingTabStop/>
    <w:useAltKinsokuLineBreakRules/>
    <w:compatSetting w:name="compatibilityMode" w:uri="http://schemas.microsoft.com/office/word" w:val="11"/>
  </w:compat>
  <w:rsids>
    <w:rsidRoot w:val="00000000"/>
    <w:rsid w:val="028218A9"/>
    <w:rsid w:val="04CA4768"/>
    <w:rsid w:val="06F82B7E"/>
    <w:rsid w:val="0A7F4B94"/>
    <w:rsid w:val="0EAE6622"/>
    <w:rsid w:val="13DB5F89"/>
    <w:rsid w:val="13FA243C"/>
    <w:rsid w:val="15227E9D"/>
    <w:rsid w:val="15353059"/>
    <w:rsid w:val="15A92F72"/>
    <w:rsid w:val="18066A2A"/>
    <w:rsid w:val="19457086"/>
    <w:rsid w:val="1A096DC4"/>
    <w:rsid w:val="1A1C5A17"/>
    <w:rsid w:val="1C5237EF"/>
    <w:rsid w:val="22614F44"/>
    <w:rsid w:val="2278600C"/>
    <w:rsid w:val="22A87507"/>
    <w:rsid w:val="2506606A"/>
    <w:rsid w:val="28124D06"/>
    <w:rsid w:val="2A4525E7"/>
    <w:rsid w:val="2B9603B4"/>
    <w:rsid w:val="2D3042B4"/>
    <w:rsid w:val="2FD454A2"/>
    <w:rsid w:val="30EC7498"/>
    <w:rsid w:val="35633C30"/>
    <w:rsid w:val="37495343"/>
    <w:rsid w:val="38184EF1"/>
    <w:rsid w:val="3A476A38"/>
    <w:rsid w:val="3F052CF0"/>
    <w:rsid w:val="3F56036D"/>
    <w:rsid w:val="42B03AF6"/>
    <w:rsid w:val="43CB44FA"/>
    <w:rsid w:val="445D4AB6"/>
    <w:rsid w:val="472D3A7F"/>
    <w:rsid w:val="47F308DC"/>
    <w:rsid w:val="4B54393C"/>
    <w:rsid w:val="4D6D3115"/>
    <w:rsid w:val="503343F5"/>
    <w:rsid w:val="50C44491"/>
    <w:rsid w:val="50EF7FD5"/>
    <w:rsid w:val="519F1876"/>
    <w:rsid w:val="55C824FA"/>
    <w:rsid w:val="566D41FE"/>
    <w:rsid w:val="57ED1DF4"/>
    <w:rsid w:val="5C7929C3"/>
    <w:rsid w:val="5CD57339"/>
    <w:rsid w:val="5E024A48"/>
    <w:rsid w:val="66636F9A"/>
    <w:rsid w:val="68A11FFC"/>
    <w:rsid w:val="68A61555"/>
    <w:rsid w:val="69900EBC"/>
    <w:rsid w:val="6BEA55F0"/>
    <w:rsid w:val="6C8B31EC"/>
    <w:rsid w:val="6CB716E9"/>
    <w:rsid w:val="6D5E04BB"/>
    <w:rsid w:val="6DD56C75"/>
    <w:rsid w:val="6DED0C6F"/>
    <w:rsid w:val="6F4242A3"/>
    <w:rsid w:val="6F62294C"/>
    <w:rsid w:val="72E83193"/>
    <w:rsid w:val="733F3C30"/>
    <w:rsid w:val="7572236F"/>
    <w:rsid w:val="7D0C1B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EastAsia" w:hAnsiTheme="minorEastAsia" w:eastAsiaTheme="minorEastAsia" w:cstheme="minorEastAsia"/>
      <w:kern w:val="0"/>
      <w:sz w:val="21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黑体" w:hAnsi="黑体" w:eastAsia="黑体" w:cs="黑体"/>
      <w:b/>
      <w:bCs/>
      <w:color w:val="000000"/>
      <w:kern w:val="44"/>
      <w:sz w:val="32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C8962E" w:sz="0" w:space="0"/>
        <w:bottom w:val="none" w:color="auto" w:sz="0" w:space="0"/>
        <w:right w:val="none" w:color="auto" w:sz="0" w:space="0"/>
      </w:pBdr>
      <w:spacing w:before="340" w:beforeAutospacing="0" w:after="200" w:afterAutospacing="0"/>
      <w:ind w:left="0" w:right="0"/>
      <w:jc w:val="left"/>
      <w:outlineLvl w:val="2"/>
    </w:pPr>
    <w:rPr>
      <w:rFonts w:hint="eastAsia" w:ascii="黑体" w:hAnsi="黑体" w:eastAsia="黑体" w:cs="黑体"/>
      <w:b/>
      <w:bCs/>
      <w:color w:val="000000"/>
      <w:spacing w:val="15"/>
      <w:kern w:val="0"/>
      <w:sz w:val="28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2A5298" w:sz="0" w:space="0"/>
        <w:bottom w:val="none" w:color="auto" w:sz="0" w:space="0"/>
        <w:right w:val="none" w:color="auto" w:sz="0" w:space="0"/>
      </w:pBdr>
      <w:spacing w:before="260" w:beforeAutospacing="0" w:after="160" w:afterAutospacing="0"/>
      <w:ind w:left="0" w:right="0"/>
      <w:jc w:val="left"/>
      <w:outlineLvl w:val="3"/>
    </w:pPr>
    <w:rPr>
      <w:rFonts w:hint="eastAsia" w:ascii="黑体" w:hAnsi="黑体" w:eastAsia="黑体" w:cs="黑体"/>
      <w:b/>
      <w:bCs/>
      <w:color w:val="000000"/>
      <w:kern w:val="0"/>
      <w:sz w:val="26"/>
      <w:szCs w:val="28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200" w:beforeAutospacing="0" w:after="120" w:afterAutospacing="0"/>
      <w:ind w:left="0" w:right="0"/>
      <w:jc w:val="left"/>
      <w:outlineLvl w:val="4"/>
    </w:pPr>
    <w:rPr>
      <w:rFonts w:hint="eastAsia" w:ascii="黑体" w:hAnsi="黑体" w:eastAsia="黑体" w:cs="黑体"/>
      <w:b/>
      <w:bCs/>
      <w:color w:val="000000"/>
      <w:kern w:val="0"/>
      <w:sz w:val="24"/>
      <w:szCs w:val="26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spacing w:before="200" w:beforeAutospacing="0" w:after="12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spacing w:before="160" w:beforeAutospacing="0" w:after="80" w:afterAutospacing="0"/>
      <w:ind w:left="0" w:right="0"/>
      <w:jc w:val="left"/>
    </w:pPr>
    <w:rPr>
      <w:rFonts w:hint="eastAsia" w:ascii="黑体" w:hAnsi="宋体" w:eastAsia="黑体" w:cs="黑体"/>
      <w:b/>
      <w:bCs/>
      <w:color w:val="000000"/>
      <w:kern w:val="0"/>
      <w:sz w:val="24"/>
      <w:szCs w:val="24"/>
      <w:lang w:val="en-US" w:eastAsia="zh-CN" w:bidi="ar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qFormat/>
    <w:uiPriority w:val="0"/>
    <w:pPr>
      <w:ind w:left="840" w:leftChars="400"/>
    </w:pPr>
  </w:style>
  <w:style w:type="paragraph" w:styleId="9">
    <w:name w:val="footer"/>
    <w:basedOn w:val="1"/>
    <w:qFormat/>
    <w:uiPriority w:val="0"/>
    <w:pPr>
      <w:pBdr>
        <w:top w:val="single" w:color="EEF1F6" w:sz="6" w:space="13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styleId="10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styleId="11">
    <w:name w:val="toc 4"/>
    <w:basedOn w:val="1"/>
    <w:next w:val="1"/>
    <w:qFormat/>
    <w:uiPriority w:val="0"/>
    <w:pPr>
      <w:ind w:left="1260" w:leftChars="600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pPr>
      <w:spacing w:before="80" w:beforeAutospacing="0" w:after="8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FollowedHyperlink"/>
    <w:basedOn w:val="15"/>
    <w:qFormat/>
    <w:uiPriority w:val="0"/>
    <w:rPr>
      <w:color w:val="2A5298"/>
      <w:u w:val="single"/>
    </w:rPr>
  </w:style>
  <w:style w:type="character" w:styleId="18">
    <w:name w:val="Hyperlink"/>
    <w:basedOn w:val="15"/>
    <w:qFormat/>
    <w:uiPriority w:val="0"/>
    <w:rPr>
      <w:color w:val="2A5298"/>
      <w:u w:val="single"/>
    </w:rPr>
  </w:style>
  <w:style w:type="character" w:styleId="19">
    <w:name w:val="HTML Code"/>
    <w:basedOn w:val="15"/>
    <w:qFormat/>
    <w:uiPriority w:val="0"/>
    <w:rPr>
      <w:rFonts w:ascii="Consolas" w:hAnsi="Consolas" w:eastAsia="Consolas" w:cs="Consolas"/>
      <w:color w:val="2A5298"/>
      <w:sz w:val="18"/>
      <w:szCs w:val="18"/>
      <w:bdr w:val="single" w:color="E0E5EE" w:sz="6" w:space="0"/>
      <w:shd w:val="clear" w:fill="F2F4F8"/>
    </w:rPr>
  </w:style>
  <w:style w:type="paragraph" w:customStyle="1" w:styleId="20">
    <w:name w:val="std-multi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">
    <w:name w:val="std-form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22">
    <w:name w:val="gk-table-sectio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">
    <w:name w:val="dev-box"/>
    <w:basedOn w:val="1"/>
    <w:qFormat/>
    <w:uiPriority w:val="0"/>
    <w:pPr>
      <w:pBdr>
        <w:top w:val="single" w:color="C6D8EE" w:sz="6" w:space="7"/>
        <w:left w:val="single" w:color="C6D8EE" w:sz="6" w:space="10"/>
        <w:bottom w:val="single" w:color="C6D8EE" w:sz="6" w:space="7"/>
        <w:right w:val="single" w:color="C6D8EE" w:sz="6" w:space="10"/>
      </w:pBdr>
      <w:shd w:val="clear" w:fill="EEF3FA"/>
      <w:spacing w:before="180" w:beforeAutospacing="0" w:after="180" w:afterAutospacing="0"/>
      <w:ind w:left="0" w:right="0"/>
      <w:jc w:val="left"/>
    </w:pPr>
    <w:rPr>
      <w:color w:val="274B7D"/>
      <w:kern w:val="0"/>
      <w:sz w:val="19"/>
      <w:szCs w:val="19"/>
      <w:lang w:val="en-US" w:eastAsia="zh-CN" w:bidi="ar"/>
    </w:rPr>
  </w:style>
  <w:style w:type="paragraph" w:customStyle="1" w:styleId="24">
    <w:name w:val="head-demo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5">
    <w:name w:val="gq-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6">
    <w:name w:val="caliber-pane"/>
    <w:basedOn w:val="1"/>
    <w:qFormat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27">
    <w:name w:val="tip"/>
    <w:basedOn w:val="1"/>
    <w:qFormat/>
    <w:uiPriority w:val="0"/>
    <w:pPr>
      <w:spacing w:before="120" w:beforeAutospacing="0" w:after="120" w:afterAutospacing="0"/>
      <w:ind w:left="0" w:right="0"/>
      <w:jc w:val="left"/>
    </w:pPr>
    <w:rPr>
      <w:color w:val="000000"/>
      <w:kern w:val="0"/>
      <w:sz w:val="21"/>
      <w:szCs w:val="21"/>
      <w:lang w:val="en-US" w:eastAsia="zh-CN" w:bidi="ar"/>
    </w:rPr>
  </w:style>
  <w:style w:type="paragraph" w:customStyle="1" w:styleId="28">
    <w:name w:val="cnt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29">
    <w:name w:val="cnt2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30">
    <w:name w:val="cnt4"/>
    <w:basedOn w:val="1"/>
    <w:qFormat/>
    <w:uiPriority w:val="0"/>
    <w:pPr>
      <w:jc w:val="left"/>
    </w:pPr>
    <w:rPr>
      <w:color w:val="808080"/>
      <w:kern w:val="0"/>
      <w:sz w:val="20"/>
      <w:szCs w:val="20"/>
      <w:lang w:val="en-US" w:eastAsia="zh-CN" w:bidi="ar"/>
    </w:rPr>
  </w:style>
  <w:style w:type="paragraph" w:customStyle="1" w:styleId="31">
    <w:name w:val="cnt6"/>
    <w:basedOn w:val="1"/>
    <w:qFormat/>
    <w:uiPriority w:val="0"/>
    <w:pPr>
      <w:ind w:left="120"/>
      <w:jc w:val="left"/>
    </w:pPr>
    <w:rPr>
      <w:b/>
      <w:bCs/>
      <w:color w:val="C8962E"/>
      <w:kern w:val="0"/>
      <w:sz w:val="18"/>
      <w:szCs w:val="18"/>
      <w:lang w:val="en-US" w:eastAsia="zh-CN" w:bidi="ar"/>
    </w:rPr>
  </w:style>
  <w:style w:type="paragraph" w:customStyle="1" w:styleId="32">
    <w:name w:val="xmark"/>
    <w:basedOn w:val="1"/>
    <w:qFormat/>
    <w:uiPriority w:val="0"/>
    <w:pPr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33">
    <w:name w:val="query-freq-box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lang w:val="en-US" w:eastAsia="zh-CN" w:bidi="ar"/>
    </w:rPr>
  </w:style>
  <w:style w:type="paragraph" w:customStyle="1" w:styleId="34">
    <w:name w:val="std-tree-cb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5">
    <w:name w:val="std-tree-cb2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36">
    <w:name w:val="ck-gauge-val"/>
    <w:basedOn w:val="1"/>
    <w:qFormat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37">
    <w:name w:val="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15" w:beforeAutospacing="0" w:after="15" w:afterAutospacing="0"/>
      <w:ind w:left="30" w:right="30"/>
      <w:jc w:val="left"/>
    </w:pPr>
    <w:rPr>
      <w:color w:val="000000"/>
      <w:kern w:val="0"/>
      <w:sz w:val="17"/>
      <w:szCs w:val="17"/>
      <w:lang w:val="en-US" w:eastAsia="zh-CN" w:bidi="ar"/>
    </w:rPr>
  </w:style>
  <w:style w:type="paragraph" w:customStyle="1" w:styleId="38">
    <w:name w:val="cock-bas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8F9FB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39">
    <w:name w:val="hl-exp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2CC"/>
      <w:jc w:val="left"/>
    </w:pPr>
    <w:rPr>
      <w:b/>
      <w:bCs/>
      <w:color w:val="000000"/>
      <w:kern w:val="0"/>
      <w:lang w:val="en-US" w:eastAsia="zh-CN" w:bidi="ar"/>
    </w:rPr>
  </w:style>
  <w:style w:type="paragraph" w:customStyle="1" w:styleId="40">
    <w:name w:val="header-sub"/>
    <w:basedOn w:val="1"/>
    <w:qFormat/>
    <w:uiPriority w:val="0"/>
    <w:pPr>
      <w:spacing w:before="15" w:beforeAutospacing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41">
    <w:name w:val="tt-period"/>
    <w:basedOn w:val="1"/>
    <w:qFormat/>
    <w:uiPriority w:val="0"/>
    <w:pPr>
      <w:shd w:val="clear" w:fill="FDE3C8"/>
      <w:jc w:val="left"/>
    </w:pPr>
    <w:rPr>
      <w:color w:val="000000"/>
      <w:kern w:val="0"/>
      <w:lang w:val="en-US" w:eastAsia="zh-CN" w:bidi="ar"/>
    </w:rPr>
  </w:style>
  <w:style w:type="paragraph" w:customStyle="1" w:styleId="42">
    <w:name w:val="query-pa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43">
    <w:name w:val="gk-2r-l&gt;span"/>
    <w:basedOn w:val="1"/>
    <w:qFormat/>
    <w:uiPriority w:val="0"/>
    <w:pPr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44">
    <w:name w:val="std-form-item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5">
    <w:name w:val="ck-trend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46">
    <w:name w:val="ph"/>
    <w:basedOn w:val="1"/>
    <w:qFormat/>
    <w:uiPriority w:val="0"/>
    <w:pPr>
      <w:jc w:val="left"/>
    </w:pPr>
    <w:rPr>
      <w:rFonts w:ascii="黑体" w:hAnsi="宋体" w:eastAsia="黑体" w:cs="黑体"/>
      <w:b/>
      <w:bCs/>
      <w:color w:val="404040"/>
      <w:spacing w:val="0"/>
      <w:kern w:val="0"/>
      <w:lang w:val="en-US" w:eastAsia="zh-CN" w:bidi="ar"/>
    </w:rPr>
  </w:style>
  <w:style w:type="paragraph" w:customStyle="1" w:styleId="47">
    <w:name w:val="gk-t12-cap"/>
    <w:basedOn w:val="1"/>
    <w:qFormat/>
    <w:uiPriority w:val="0"/>
    <w:pPr>
      <w:pBdr>
        <w:top w:val="dashed" w:color="E4EEFB" w:sz="6" w:space="5"/>
      </w:pBdr>
      <w:spacing w:after="60" w:afterAutospacing="0"/>
      <w:jc w:val="left"/>
    </w:pPr>
    <w:rPr>
      <w:color w:val="8AA2BD"/>
      <w:spacing w:val="15"/>
      <w:kern w:val="0"/>
      <w:sz w:val="15"/>
      <w:szCs w:val="15"/>
      <w:lang w:val="en-US" w:eastAsia="zh-CN" w:bidi="ar"/>
    </w:rPr>
  </w:style>
  <w:style w:type="paragraph" w:customStyle="1" w:styleId="48">
    <w:name w:val="dim-na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8"/>
      <w:kern w:val="0"/>
      <w:sz w:val="19"/>
      <w:szCs w:val="19"/>
      <w:lang w:val="en-US" w:eastAsia="zh-CN" w:bidi="ar"/>
    </w:rPr>
  </w:style>
  <w:style w:type="paragraph" w:customStyle="1" w:styleId="49">
    <w:name w:val="std-ms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50">
    <w:name w:val="caliber-tab-name"/>
    <w:basedOn w:val="1"/>
    <w:qFormat/>
    <w:uiPriority w:val="0"/>
    <w:pPr>
      <w:spacing w:line="21" w:lineRule="atLeast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1">
    <w:name w:val="group-row"/>
    <w:basedOn w:val="1"/>
    <w:qFormat/>
    <w:uiPriority w:val="0"/>
    <w:pPr>
      <w:pBdr>
        <w:left w:val="none" w:color="auto" w:sz="0" w:space="0"/>
      </w:pBdr>
      <w:jc w:val="left"/>
    </w:pPr>
    <w:rPr>
      <w:b/>
      <w:bCs/>
      <w:kern w:val="0"/>
      <w:lang w:val="en-US" w:eastAsia="zh-CN" w:bidi="ar"/>
    </w:rPr>
  </w:style>
  <w:style w:type="paragraph" w:customStyle="1" w:styleId="52">
    <w:name w:val="collapse-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3">
    <w:name w:val="sub"/>
    <w:basedOn w:val="1"/>
    <w:qFormat/>
    <w:uiPriority w:val="0"/>
    <w:pPr>
      <w:jc w:val="left"/>
    </w:pPr>
    <w:rPr>
      <w:spacing w:val="15"/>
      <w:kern w:val="0"/>
      <w:sz w:val="21"/>
      <w:szCs w:val="21"/>
      <w:lang w:val="en-US" w:eastAsia="zh-CN" w:bidi="ar"/>
    </w:rPr>
  </w:style>
  <w:style w:type="paragraph" w:customStyle="1" w:styleId="54">
    <w:name w:val="gk-strip-sep"/>
    <w:basedOn w:val="1"/>
    <w:qFormat/>
    <w:uiPriority w:val="0"/>
    <w:pPr>
      <w:shd w:val="clear" w:fill="A8D4F5"/>
      <w:jc w:val="left"/>
    </w:pPr>
    <w:rPr>
      <w:kern w:val="0"/>
      <w:lang w:val="en-US" w:eastAsia="zh-CN" w:bidi="ar"/>
    </w:rPr>
  </w:style>
  <w:style w:type="paragraph" w:customStyle="1" w:styleId="55">
    <w:name w:val="std-group-title"/>
    <w:basedOn w:val="1"/>
    <w:qFormat/>
    <w:uiPriority w:val="0"/>
    <w:pPr>
      <w:pBdr>
        <w:left w:val="none" w:color="auto" w:sz="0" w:space="0"/>
      </w:pBdr>
      <w:spacing w:after="9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56">
    <w:name w:val="meta"/>
    <w:basedOn w:val="1"/>
    <w:qFormat/>
    <w:uiPriority w:val="0"/>
    <w:pPr>
      <w:spacing w:before="330" w:before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57">
    <w:name w:val="tt-point"/>
    <w:basedOn w:val="1"/>
    <w:qFormat/>
    <w:uiPriority w:val="0"/>
    <w:pPr>
      <w:shd w:val="clear" w:fill="DCE8F8"/>
      <w:jc w:val="left"/>
    </w:pPr>
    <w:rPr>
      <w:color w:val="000000"/>
      <w:kern w:val="0"/>
      <w:lang w:val="en-US" w:eastAsia="zh-CN" w:bidi="ar"/>
    </w:rPr>
  </w:style>
  <w:style w:type="paragraph" w:customStyle="1" w:styleId="58">
    <w:name w:val="confirm-box"/>
    <w:basedOn w:val="1"/>
    <w:qFormat/>
    <w:uiPriority w:val="0"/>
    <w:pPr>
      <w:spacing w:before="180" w:beforeAutospacing="0" w:after="180" w:afterAutospacing="0"/>
      <w:ind w:left="0" w:right="0"/>
      <w:jc w:val="left"/>
    </w:pPr>
    <w:rPr>
      <w:color w:val="000000"/>
      <w:kern w:val="0"/>
      <w:sz w:val="19"/>
      <w:szCs w:val="19"/>
      <w:lang w:val="en-US" w:eastAsia="zh-CN" w:bidi="ar"/>
    </w:rPr>
  </w:style>
  <w:style w:type="paragraph" w:customStyle="1" w:styleId="59">
    <w:name w:val="std-tree-lb"/>
    <w:basedOn w:val="1"/>
    <w:qFormat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60">
    <w:name w:val="std-tree-lb2"/>
    <w:basedOn w:val="1"/>
    <w:qFormat/>
    <w:uiPriority w:val="0"/>
    <w:pPr>
      <w:jc w:val="left"/>
    </w:pPr>
    <w:rPr>
      <w:color w:val="333C4A"/>
      <w:kern w:val="0"/>
      <w:sz w:val="20"/>
      <w:szCs w:val="20"/>
      <w:lang w:val="en-US" w:eastAsia="zh-CN" w:bidi="ar"/>
    </w:rPr>
  </w:style>
  <w:style w:type="paragraph" w:customStyle="1" w:styleId="61">
    <w:name w:val="gk-stat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62">
    <w:name w:val="query-inp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9"/>
      <w:szCs w:val="19"/>
      <w:lang w:val="en-US" w:eastAsia="zh-CN" w:bidi="ar"/>
    </w:rPr>
  </w:style>
  <w:style w:type="paragraph" w:customStyle="1" w:styleId="63">
    <w:name w:val="gk-wide-title"/>
    <w:basedOn w:val="1"/>
    <w:qFormat/>
    <w:uiPriority w:val="0"/>
    <w:pPr>
      <w:jc w:val="left"/>
    </w:pPr>
    <w:rPr>
      <w:b/>
      <w:bCs/>
      <w:color w:val="0D6EF0"/>
      <w:spacing w:val="15"/>
      <w:kern w:val="0"/>
      <w:sz w:val="19"/>
      <w:szCs w:val="19"/>
      <w:lang w:val="en-US" w:eastAsia="zh-CN" w:bidi="ar"/>
    </w:rPr>
  </w:style>
  <w:style w:type="paragraph" w:customStyle="1" w:styleId="64">
    <w:name w:val="page"/>
    <w:basedOn w:val="1"/>
    <w:qFormat/>
    <w:uiPriority w:val="0"/>
    <w:pPr>
      <w:shd w:val="clear" w:fill="FFFFFF"/>
      <w:spacing w:before="0" w:beforeAutospacing="0" w:after="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65">
    <w:name w:val="query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66">
    <w:name w:val="query-toolba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67">
    <w:name w:val="fz-select-name"/>
    <w:basedOn w:val="1"/>
    <w:qFormat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68">
    <w:name w:val="gk-wide-char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69">
    <w:name w:val="std-pager-total"/>
    <w:basedOn w:val="1"/>
    <w:qFormat/>
    <w:uiPriority w:val="0"/>
    <w:pPr>
      <w:jc w:val="left"/>
    </w:pPr>
    <w:rPr>
      <w:color w:val="4B5563"/>
      <w:kern w:val="0"/>
      <w:sz w:val="18"/>
      <w:szCs w:val="18"/>
      <w:lang w:val="en-US" w:eastAsia="zh-CN" w:bidi="ar"/>
    </w:rPr>
  </w:style>
  <w:style w:type="paragraph" w:customStyle="1" w:styleId="70">
    <w:name w:val="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1">
    <w:name w:val="brief"/>
    <w:basedOn w:val="1"/>
    <w:qFormat/>
    <w:uiPriority w:val="0"/>
    <w:pPr>
      <w:jc w:val="left"/>
    </w:pPr>
    <w:rPr>
      <w:color w:val="000000"/>
      <w:kern w:val="0"/>
      <w:lang w:val="en-US" w:eastAsia="zh-CN" w:bidi="ar"/>
    </w:rPr>
  </w:style>
  <w:style w:type="paragraph" w:customStyle="1" w:styleId="72">
    <w:name w:val="fz-company-view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73">
    <w:name w:val="none"/>
    <w:basedOn w:val="1"/>
    <w:qFormat/>
    <w:uiPriority w:val="0"/>
    <w:pPr>
      <w:jc w:val="left"/>
    </w:pPr>
    <w:rPr>
      <w:color w:val="9CA3AF"/>
      <w:kern w:val="0"/>
      <w:sz w:val="18"/>
      <w:szCs w:val="18"/>
      <w:lang w:val="en-US" w:eastAsia="zh-CN" w:bidi="ar"/>
    </w:rPr>
  </w:style>
  <w:style w:type="paragraph" w:customStyle="1" w:styleId="74">
    <w:name w:val="stick-4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75">
    <w:name w:val="gk-wide-head"/>
    <w:basedOn w:val="1"/>
    <w:qFormat/>
    <w:uiPriority w:val="0"/>
    <w:pPr>
      <w:spacing w:after="30" w:afterAutospacing="0"/>
      <w:jc w:val="left"/>
    </w:pPr>
    <w:rPr>
      <w:kern w:val="0"/>
      <w:lang w:val="en-US" w:eastAsia="zh-CN" w:bidi="ar"/>
    </w:rPr>
  </w:style>
  <w:style w:type="paragraph" w:customStyle="1" w:styleId="76">
    <w:name w:val="std-tabs"/>
    <w:basedOn w:val="1"/>
    <w:qFormat/>
    <w:uiPriority w:val="0"/>
    <w:pPr>
      <w:spacing w:before="3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77">
    <w:name w:val="std-sec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color w:val="FFFFFF"/>
      <w:kern w:val="0"/>
      <w:sz w:val="18"/>
      <w:szCs w:val="18"/>
      <w:lang w:val="en-US" w:eastAsia="zh-CN" w:bidi="ar"/>
    </w:rPr>
  </w:style>
  <w:style w:type="paragraph" w:customStyle="1" w:styleId="78">
    <w:name w:val="header-nav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79">
    <w:name w:val="ym-selec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kern w:val="0"/>
      <w:sz w:val="20"/>
      <w:szCs w:val="20"/>
      <w:lang w:val="en-US" w:eastAsia="zh-CN" w:bidi="ar"/>
    </w:rPr>
  </w:style>
  <w:style w:type="paragraph" w:customStyle="1" w:styleId="80">
    <w:name w:val="fz-select-op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9"/>
      <w:szCs w:val="19"/>
      <w:lang w:val="en-US" w:eastAsia="zh-CN" w:bidi="ar"/>
    </w:rPr>
  </w:style>
  <w:style w:type="paragraph" w:customStyle="1" w:styleId="81">
    <w:name w:val="std-form-label"/>
    <w:basedOn w:val="1"/>
    <w:qFormat/>
    <w:uiPriority w:val="0"/>
    <w:pPr>
      <w:jc w:val="right"/>
    </w:pPr>
    <w:rPr>
      <w:color w:val="4B5563"/>
      <w:kern w:val="0"/>
      <w:sz w:val="19"/>
      <w:szCs w:val="19"/>
      <w:lang w:val="en-US" w:eastAsia="zh-CN" w:bidi="ar"/>
    </w:rPr>
  </w:style>
  <w:style w:type="paragraph" w:customStyle="1" w:styleId="82">
    <w:name w:val="header-logo"/>
    <w:basedOn w:val="1"/>
    <w:qFormat/>
    <w:uiPriority w:val="0"/>
    <w:pPr>
      <w:jc w:val="left"/>
    </w:pPr>
    <w:rPr>
      <w:b/>
      <w:bCs/>
      <w:color w:val="FFFFFF"/>
      <w:kern w:val="0"/>
      <w:sz w:val="27"/>
      <w:szCs w:val="27"/>
      <w:lang w:val="en-US" w:eastAsia="zh-CN" w:bidi="ar"/>
    </w:rPr>
  </w:style>
  <w:style w:type="paragraph" w:customStyle="1" w:styleId="83">
    <w:name w:val="cock-companie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84">
    <w:name w:val="header-lef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5">
    <w:name w:val="topnav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b/>
      <w:bCs/>
      <w:spacing w:val="45"/>
      <w:kern w:val="0"/>
      <w:sz w:val="22"/>
      <w:szCs w:val="22"/>
      <w:lang w:val="en-US" w:eastAsia="zh-CN" w:bidi="ar"/>
    </w:rPr>
  </w:style>
  <w:style w:type="paragraph" w:customStyle="1" w:styleId="86">
    <w:name w:val="std-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7">
    <w:name w:val="stick-3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88">
    <w:name w:val="std-drawer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89">
    <w:name w:val="gq-fi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0">
    <w:name w:val="query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91">
    <w:name w:val="std-tree-exp"/>
    <w:basedOn w:val="1"/>
    <w:qFormat/>
    <w:uiPriority w:val="0"/>
    <w:pPr>
      <w:jc w:val="center"/>
    </w:pPr>
    <w:rPr>
      <w:color w:val="8A94A3"/>
      <w:kern w:val="0"/>
      <w:sz w:val="15"/>
      <w:szCs w:val="15"/>
      <w:lang w:val="en-US" w:eastAsia="zh-CN" w:bidi="ar"/>
    </w:rPr>
  </w:style>
  <w:style w:type="paragraph" w:customStyle="1" w:styleId="92">
    <w:name w:val="std-ctrl"/>
    <w:basedOn w:val="1"/>
    <w:qFormat/>
    <w:uiPriority w:val="0"/>
    <w:pPr>
      <w:pBdr>
        <w:top w:val="single" w:color="D7DBE0" w:sz="6" w:space="0"/>
        <w:left w:val="single" w:color="D7DBE0" w:sz="6" w:space="9"/>
        <w:bottom w:val="single" w:color="D7DBE0" w:sz="6" w:space="0"/>
        <w:right w:val="single" w:color="D7DBE0" w:sz="6" w:space="9"/>
      </w:pBdr>
      <w:shd w:val="clear" w:fill="FFFF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93">
    <w:name w:val="std-form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4">
    <w:name w:val="btn-std"/>
    <w:basedOn w:val="1"/>
    <w:qFormat/>
    <w:uiPriority w:val="0"/>
    <w:pPr>
      <w:jc w:val="left"/>
    </w:pPr>
    <w:rPr>
      <w:spacing w:val="45"/>
      <w:kern w:val="0"/>
      <w:sz w:val="21"/>
      <w:szCs w:val="21"/>
      <w:lang w:val="en-US" w:eastAsia="zh-CN" w:bidi="ar"/>
    </w:rPr>
  </w:style>
  <w:style w:type="paragraph" w:customStyle="1" w:styleId="95">
    <w:name w:val="std-pager"/>
    <w:basedOn w:val="1"/>
    <w:qFormat/>
    <w:uiPriority w:val="0"/>
    <w:pPr>
      <w:spacing w:before="210" w:beforeAutospacing="0"/>
      <w:jc w:val="left"/>
    </w:pPr>
    <w:rPr>
      <w:kern w:val="0"/>
      <w:lang w:val="en-US" w:eastAsia="zh-CN" w:bidi="ar"/>
    </w:rPr>
  </w:style>
  <w:style w:type="paragraph" w:customStyle="1" w:styleId="96">
    <w:name w:val="std-ms-se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7">
    <w:name w:val="std-ms-pop"/>
    <w:basedOn w:val="1"/>
    <w:qFormat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98">
    <w:name w:val="std-tree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99">
    <w:name w:val="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00">
    <w:name w:val="std-tree-bt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01">
    <w:name w:val="std-drawer-title"/>
    <w:basedOn w:val="1"/>
    <w:qFormat/>
    <w:uiPriority w:val="0"/>
    <w:pPr>
      <w:pBdr>
        <w:right w:val="none" w:color="auto" w:sz="0" w:space="0"/>
      </w:pBdr>
      <w:spacing w:line="23" w:lineRule="atLeast"/>
      <w:jc w:val="left"/>
    </w:pPr>
    <w:rPr>
      <w:b/>
      <w:bCs/>
      <w:kern w:val="0"/>
      <w:sz w:val="24"/>
      <w:szCs w:val="24"/>
      <w:lang w:val="en-US" w:eastAsia="zh-CN" w:bidi="ar"/>
    </w:rPr>
  </w:style>
  <w:style w:type="paragraph" w:customStyle="1" w:styleId="102">
    <w:name w:val="std-tree-se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03">
    <w:name w:val="std-tree-chev"/>
    <w:basedOn w:val="1"/>
    <w:qFormat/>
    <w:uiPriority w:val="0"/>
    <w:pPr>
      <w:jc w:val="left"/>
    </w:pPr>
    <w:rPr>
      <w:color w:val="8A94A3"/>
      <w:kern w:val="0"/>
      <w:sz w:val="16"/>
      <w:szCs w:val="16"/>
      <w:lang w:val="en-US" w:eastAsia="zh-CN" w:bidi="ar"/>
    </w:rPr>
  </w:style>
  <w:style w:type="paragraph" w:customStyle="1" w:styleId="104">
    <w:name w:val="lb"/>
    <w:basedOn w:val="1"/>
    <w:qFormat/>
    <w:uiPriority w:val="0"/>
    <w:pPr>
      <w:ind w:right="75"/>
      <w:jc w:val="left"/>
      <w:textAlignment w:val="auto"/>
    </w:pPr>
    <w:rPr>
      <w:kern w:val="0"/>
      <w:lang w:val="en-US" w:eastAsia="zh-CN" w:bidi="ar"/>
    </w:rPr>
  </w:style>
  <w:style w:type="paragraph" w:customStyle="1" w:styleId="105">
    <w:name w:val="std-tree-pop"/>
    <w:basedOn w:val="1"/>
    <w:qFormat/>
    <w:uiPriority w:val="0"/>
    <w:pPr>
      <w:pBdr>
        <w:top w:val="single" w:color="E3E6EA" w:sz="6" w:space="4"/>
        <w:left w:val="single" w:color="E3E6EA" w:sz="6" w:space="0"/>
        <w:bottom w:val="single" w:color="E3E6EA" w:sz="6" w:space="4"/>
        <w:right w:val="single" w:color="E3E6EA" w:sz="6" w:space="0"/>
      </w:pBdr>
      <w:shd w:val="clear" w:fill="F7F8FA"/>
      <w:jc w:val="left"/>
    </w:pPr>
    <w:rPr>
      <w:vanish/>
      <w:kern w:val="0"/>
      <w:lang w:val="en-US" w:eastAsia="zh-CN" w:bidi="ar"/>
    </w:rPr>
  </w:style>
  <w:style w:type="paragraph" w:customStyle="1" w:styleId="106">
    <w:name w:val="topnav-sub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33475F"/>
      <w:kern w:val="0"/>
      <w:sz w:val="18"/>
      <w:szCs w:val="18"/>
      <w:lang w:val="en-US" w:eastAsia="zh-CN" w:bidi="ar"/>
    </w:rPr>
  </w:style>
  <w:style w:type="paragraph" w:customStyle="1" w:styleId="107">
    <w:name w:val="std-name"/>
    <w:basedOn w:val="1"/>
    <w:qFormat/>
    <w:uiPriority w:val="0"/>
    <w:pPr>
      <w:spacing w:line="23" w:lineRule="atLeast"/>
      <w:jc w:val="left"/>
    </w:pPr>
    <w:rPr>
      <w:b/>
      <w:bCs/>
      <w:kern w:val="0"/>
      <w:lang w:val="en-US" w:eastAsia="zh-CN" w:bidi="ar"/>
    </w:rPr>
  </w:style>
  <w:style w:type="paragraph" w:customStyle="1" w:styleId="108">
    <w:name w:val="std-tree-row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09">
    <w:name w:val="sheet-panel"/>
    <w:basedOn w:val="1"/>
    <w:qFormat/>
    <w:uiPriority w:val="0"/>
    <w:pPr>
      <w:pBdr>
        <w:bottom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10">
    <w:name w:val="std-bad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111">
    <w:name w:val="btn-std-search"/>
    <w:basedOn w:val="1"/>
    <w:qFormat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112">
    <w:name w:val="btn-std-reset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13">
    <w:name w:val="query-table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14">
    <w:name w:val="tag-none"/>
    <w:basedOn w:val="1"/>
    <w:qFormat/>
    <w:uiPriority w:val="0"/>
    <w:pPr>
      <w:jc w:val="left"/>
    </w:pPr>
    <w:rPr>
      <w:color w:val="C0C4CC"/>
      <w:kern w:val="0"/>
      <w:lang w:val="en-US" w:eastAsia="zh-CN" w:bidi="ar"/>
    </w:rPr>
  </w:style>
  <w:style w:type="paragraph" w:customStyle="1" w:styleId="115">
    <w:name w:val="link-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16">
    <w:name w:val="std-ta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5A6B82"/>
      <w:kern w:val="0"/>
      <w:sz w:val="19"/>
      <w:szCs w:val="19"/>
      <w:lang w:val="en-US" w:eastAsia="zh-CN" w:bidi="ar"/>
    </w:rPr>
  </w:style>
  <w:style w:type="paragraph" w:customStyle="1" w:styleId="117">
    <w:name w:val="progress-bar-wra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18">
    <w:name w:val="nav-ite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 w:line="21" w:lineRule="atLeast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19">
    <w:name w:val="nav-item2"/>
    <w:basedOn w:val="1"/>
    <w:qFormat/>
    <w:uiPriority w:val="0"/>
    <w:pPr>
      <w:pBdr>
        <w:lef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20">
    <w:name w:val="query-empt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center"/>
    </w:pPr>
    <w:rPr>
      <w:kern w:val="0"/>
      <w:sz w:val="19"/>
      <w:szCs w:val="19"/>
      <w:lang w:val="en-US" w:eastAsia="zh-CN" w:bidi="ar"/>
    </w:rPr>
  </w:style>
  <w:style w:type="paragraph" w:customStyle="1" w:styleId="121">
    <w:name w:val="std-pag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22">
    <w:name w:val="std-sta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3">
    <w:name w:val="cont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24">
    <w:name w:val="stick-2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5">
    <w:name w:val="std-mai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6">
    <w:name w:val="std-pager-bt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27">
    <w:name w:val="kpi-value"/>
    <w:basedOn w:val="1"/>
    <w:qFormat/>
    <w:uiPriority w:val="0"/>
    <w:pPr>
      <w:jc w:val="left"/>
    </w:pPr>
    <w:rPr>
      <w:kern w:val="0"/>
      <w:sz w:val="33"/>
      <w:szCs w:val="33"/>
      <w:lang w:val="en-US" w:eastAsia="zh-CN" w:bidi="ar"/>
    </w:rPr>
  </w:style>
  <w:style w:type="paragraph" w:customStyle="1" w:styleId="128">
    <w:name w:val="kpi-value2"/>
    <w:basedOn w:val="1"/>
    <w:qFormat/>
    <w:uiPriority w:val="0"/>
    <w:pPr>
      <w:jc w:val="left"/>
    </w:pPr>
    <w:rPr>
      <w:b/>
      <w:bCs/>
      <w:kern w:val="0"/>
      <w:sz w:val="36"/>
      <w:szCs w:val="36"/>
      <w:lang w:val="en-US" w:eastAsia="zh-CN" w:bidi="ar"/>
    </w:rPr>
  </w:style>
  <w:style w:type="paragraph" w:customStyle="1" w:styleId="129">
    <w:name w:val="ck-gauge"/>
    <w:basedOn w:val="1"/>
    <w:qFormat/>
    <w:uiPriority w:val="0"/>
    <w:pPr>
      <w:jc w:val="center"/>
    </w:pPr>
    <w:rPr>
      <w:kern w:val="0"/>
      <w:lang w:val="en-US" w:eastAsia="zh-CN" w:bidi="ar"/>
    </w:rPr>
  </w:style>
  <w:style w:type="paragraph" w:customStyle="1" w:styleId="130">
    <w:name w:val="gk-2r-r&gt;span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31">
    <w:name w:val="gk-wide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32">
    <w:name w:val="stick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3">
    <w:name w:val="stick2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34">
    <w:name w:val="stick4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5">
    <w:name w:val="gk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6">
    <w:name w:val="stick-r2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37">
    <w:name w:val="stick-r22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38">
    <w:name w:val="stick-r24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39">
    <w:name w:val="stick-r"/>
    <w:basedOn w:val="1"/>
    <w:qFormat/>
    <w:uiPriority w:val="0"/>
    <w:pPr>
      <w:shd w:val="clear" w:fill="F8F9FB"/>
      <w:jc w:val="left"/>
    </w:pPr>
    <w:rPr>
      <w:kern w:val="0"/>
      <w:lang w:val="en-US" w:eastAsia="zh-CN" w:bidi="ar"/>
    </w:rPr>
  </w:style>
  <w:style w:type="paragraph" w:customStyle="1" w:styleId="140">
    <w:name w:val="stick-r3"/>
    <w:basedOn w:val="1"/>
    <w:qFormat/>
    <w:uiPriority w:val="0"/>
    <w:pPr>
      <w:shd w:val="clear" w:fill="FFF8E6"/>
      <w:jc w:val="left"/>
    </w:pPr>
    <w:rPr>
      <w:kern w:val="0"/>
      <w:lang w:val="en-US" w:eastAsia="zh-CN" w:bidi="ar"/>
    </w:rPr>
  </w:style>
  <w:style w:type="paragraph" w:customStyle="1" w:styleId="141">
    <w:name w:val="stick-r5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42">
    <w:name w:val="layou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3">
    <w:name w:val="gk-wide-lef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44">
    <w:name w:val="stick-1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45">
    <w:name w:val="gq-fil-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46">
    <w:name w:val="progress-bar"/>
    <w:basedOn w:val="1"/>
    <w:qFormat/>
    <w:uiPriority w:val="0"/>
    <w:pPr>
      <w:shd w:val="clear" w:fill="E5E7EB"/>
      <w:jc w:val="left"/>
    </w:pPr>
    <w:rPr>
      <w:kern w:val="0"/>
      <w:lang w:val="en-US" w:eastAsia="zh-CN" w:bidi="ar"/>
    </w:rPr>
  </w:style>
  <w:style w:type="paragraph" w:customStyle="1" w:styleId="147">
    <w:name w:val="kpi-trend-row"/>
    <w:basedOn w:val="1"/>
    <w:qFormat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48">
    <w:name w:val="std-status"/>
    <w:basedOn w:val="1"/>
    <w:qFormat/>
    <w:uiPriority w:val="0"/>
    <w:pPr>
      <w:jc w:val="left"/>
    </w:pPr>
    <w:rPr>
      <w:kern w:val="0"/>
      <w:sz w:val="19"/>
      <w:szCs w:val="19"/>
      <w:lang w:val="en-US" w:eastAsia="zh-CN" w:bidi="ar"/>
    </w:rPr>
  </w:style>
  <w:style w:type="paragraph" w:customStyle="1" w:styleId="149">
    <w:name w:val="std-page-siz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50">
    <w:name w:val="std-page-dots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sz w:val="18"/>
      <w:szCs w:val="18"/>
      <w:lang w:val="en-US" w:eastAsia="zh-CN" w:bidi="ar"/>
    </w:rPr>
  </w:style>
  <w:style w:type="paragraph" w:customStyle="1" w:styleId="151">
    <w:name w:val="std-overlay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52">
    <w:name w:val="std-drawer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53">
    <w:name w:val="std-drawer-hea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lang w:val="en-US" w:eastAsia="zh-CN" w:bidi="ar"/>
    </w:rPr>
  </w:style>
  <w:style w:type="paragraph" w:customStyle="1" w:styleId="154">
    <w:name w:val="cock-desc"/>
    <w:basedOn w:val="1"/>
    <w:qFormat/>
    <w:uiPriority w:val="0"/>
    <w:pPr>
      <w:spacing w:before="0" w:beforeAutospacing="0" w:after="180" w:afterAutospacing="0"/>
      <w:ind w:left="0" w:right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155">
    <w:name w:val="cock-desc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color w:val="6F8BAB"/>
      <w:kern w:val="0"/>
      <w:sz w:val="18"/>
      <w:szCs w:val="18"/>
      <w:lang w:val="en-US" w:eastAsia="zh-CN" w:bidi="ar"/>
    </w:rPr>
  </w:style>
  <w:style w:type="paragraph" w:customStyle="1" w:styleId="156">
    <w:name w:val="std-drawer-code"/>
    <w:basedOn w:val="1"/>
    <w:qFormat/>
    <w:uiPriority w:val="0"/>
    <w:pPr>
      <w:spacing w:before="90" w:beforeAutospacing="0"/>
      <w:jc w:val="left"/>
    </w:pPr>
    <w:rPr>
      <w:rFonts w:hint="default" w:ascii="Consolas" w:hAnsi="Consolas" w:eastAsia="Consolas" w:cs="Consolas"/>
      <w:kern w:val="0"/>
      <w:sz w:val="18"/>
      <w:szCs w:val="18"/>
      <w:lang w:val="en-US" w:eastAsia="zh-CN" w:bidi="ar"/>
    </w:rPr>
  </w:style>
  <w:style w:type="paragraph" w:customStyle="1" w:styleId="157">
    <w:name w:val="std-drawer-tags"/>
    <w:basedOn w:val="1"/>
    <w:qFormat/>
    <w:uiPriority w:val="0"/>
    <w:pPr>
      <w:spacing w:before="150" w:beforeAutospacing="0"/>
      <w:jc w:val="left"/>
    </w:pPr>
    <w:rPr>
      <w:kern w:val="0"/>
      <w:lang w:val="en-US" w:eastAsia="zh-CN" w:bidi="ar"/>
    </w:rPr>
  </w:style>
  <w:style w:type="paragraph" w:customStyle="1" w:styleId="158">
    <w:name w:val="std-drawer-clos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159">
    <w:name w:val="std-group"/>
    <w:basedOn w:val="1"/>
    <w:qFormat/>
    <w:uiPriority w:val="0"/>
    <w:pPr>
      <w:spacing w:after="270" w:afterAutospacing="0"/>
      <w:jc w:val="left"/>
    </w:pPr>
    <w:rPr>
      <w:kern w:val="0"/>
      <w:lang w:val="en-US" w:eastAsia="zh-CN" w:bidi="ar"/>
    </w:rPr>
  </w:style>
  <w:style w:type="paragraph" w:customStyle="1" w:styleId="160">
    <w:name w:val="std-tab-pane"/>
    <w:basedOn w:val="1"/>
    <w:qFormat/>
    <w:uiPriority w:val="0"/>
    <w:pPr>
      <w:jc w:val="left"/>
    </w:pPr>
    <w:rPr>
      <w:vanish/>
      <w:kern w:val="0"/>
      <w:lang w:val="en-US" w:eastAsia="zh-CN" w:bidi="ar"/>
    </w:rPr>
  </w:style>
  <w:style w:type="paragraph" w:customStyle="1" w:styleId="161">
    <w:name w:val="gk-mcal-tab"/>
    <w:basedOn w:val="1"/>
    <w:qFormat/>
    <w:uiPriority w:val="0"/>
    <w:pPr>
      <w:pBdr>
        <w:top w:val="single" w:color="CFE0F4" w:sz="6" w:space="2"/>
        <w:left w:val="single" w:color="CFE0F4" w:sz="6" w:space="8"/>
        <w:bottom w:val="single" w:color="CFE0F4" w:sz="6" w:space="2"/>
        <w:right w:val="single" w:color="CFE0F4" w:sz="6" w:space="8"/>
      </w:pBdr>
      <w:shd w:val="clear" w:fill="F4F9FF"/>
      <w:jc w:val="left"/>
    </w:pPr>
    <w:rPr>
      <w:b/>
      <w:bCs/>
      <w:color w:val="51708F"/>
      <w:spacing w:val="8"/>
      <w:kern w:val="0"/>
      <w:sz w:val="15"/>
      <w:szCs w:val="15"/>
      <w:lang w:val="en-US" w:eastAsia="zh-CN" w:bidi="ar"/>
    </w:rPr>
  </w:style>
  <w:style w:type="paragraph" w:customStyle="1" w:styleId="162">
    <w:name w:val="assess-tag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DCE8F8"/>
      <w:spacing w:line="24" w:lineRule="atLeast"/>
      <w:jc w:val="left"/>
    </w:pPr>
    <w:rPr>
      <w:b/>
      <w:bCs/>
      <w:color w:val="2A5298"/>
      <w:kern w:val="0"/>
      <w:sz w:val="16"/>
      <w:szCs w:val="16"/>
      <w:lang w:val="en-US" w:eastAsia="zh-CN" w:bidi="ar"/>
    </w:rPr>
  </w:style>
  <w:style w:type="paragraph" w:customStyle="1" w:styleId="163">
    <w:name w:val="gk-numblock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4">
    <w:name w:val="gk-numblock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5">
    <w:name w:val="gk-numblock4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66">
    <w:name w:val="gk-gaug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67">
    <w:name w:val="kpi-unit"/>
    <w:basedOn w:val="1"/>
    <w:qFormat/>
    <w:uiPriority w:val="0"/>
    <w:pPr>
      <w:ind w:left="150"/>
      <w:jc w:val="left"/>
    </w:pPr>
    <w:rPr>
      <w:spacing w:val="8"/>
      <w:kern w:val="0"/>
      <w:sz w:val="18"/>
      <w:szCs w:val="18"/>
      <w:lang w:val="en-US" w:eastAsia="zh-CN" w:bidi="ar"/>
    </w:rPr>
  </w:style>
  <w:style w:type="paragraph" w:customStyle="1" w:styleId="168">
    <w:name w:val="sideba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before="120" w:beforeAutospacing="0" w:after="12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69">
    <w:name w:val="nav-paren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30" w:afterAutospacing="0"/>
      <w:jc w:val="left"/>
    </w:pPr>
    <w:rPr>
      <w:b/>
      <w:bCs/>
      <w:spacing w:val="15"/>
      <w:kern w:val="0"/>
      <w:sz w:val="20"/>
      <w:szCs w:val="20"/>
      <w:lang w:val="en-US" w:eastAsia="zh-CN" w:bidi="ar"/>
    </w:rPr>
  </w:style>
  <w:style w:type="paragraph" w:customStyle="1" w:styleId="170">
    <w:name w:val="ck-gauge-sub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171">
    <w:name w:val="nav-children"/>
    <w:basedOn w:val="1"/>
    <w:qFormat/>
    <w:uiPriority w:val="0"/>
    <w:pPr>
      <w:pBdr>
        <w:lef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172">
    <w:name w:val="nav-group-hea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after="15" w:afterAutospacing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73">
    <w:name w:val="nav-empt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B0B6BF"/>
      <w:kern w:val="0"/>
      <w:sz w:val="16"/>
      <w:szCs w:val="16"/>
      <w:lang w:val="en-US" w:eastAsia="zh-CN" w:bidi="ar"/>
    </w:rPr>
  </w:style>
  <w:style w:type="paragraph" w:customStyle="1" w:styleId="174">
    <w:name w:val="fz-selec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75">
    <w:name w:val="dim-dash"/>
    <w:basedOn w:val="1"/>
    <w:qFormat/>
    <w:uiPriority w:val="0"/>
    <w:pPr>
      <w:jc w:val="left"/>
    </w:pPr>
    <w:rPr>
      <w:rFonts w:ascii="黑体" w:hAnsi="宋体" w:eastAsia="黑体" w:cs="黑体"/>
      <w:b/>
      <w:bCs/>
      <w:color w:val="6F7B88"/>
      <w:spacing w:val="30"/>
      <w:kern w:val="0"/>
      <w:lang w:val="en-US" w:eastAsia="zh-CN" w:bidi="ar"/>
    </w:rPr>
  </w:style>
  <w:style w:type="paragraph" w:customStyle="1" w:styleId="176">
    <w:name w:val="tsub-ico"/>
    <w:basedOn w:val="1"/>
    <w:qFormat/>
    <w:uiPriority w:val="0"/>
    <w:pPr>
      <w:pBdr>
        <w:top w:val="single" w:color="D8EAFB" w:sz="6" w:space="0"/>
        <w:left w:val="single" w:color="D8EAFB" w:sz="6" w:space="0"/>
        <w:bottom w:val="single" w:color="D8EAFB" w:sz="6" w:space="0"/>
        <w:right w:val="single" w:color="D8EAFB" w:sz="6" w:space="0"/>
      </w:pBdr>
      <w:shd w:val="clear" w:fill="EAF4FF"/>
      <w:jc w:val="left"/>
    </w:pPr>
    <w:rPr>
      <w:kern w:val="0"/>
      <w:sz w:val="19"/>
      <w:szCs w:val="19"/>
      <w:lang w:val="en-US" w:eastAsia="zh-CN" w:bidi="ar"/>
    </w:rPr>
  </w:style>
  <w:style w:type="paragraph" w:customStyle="1" w:styleId="177">
    <w:name w:val="kpi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78">
    <w:name w:val="progress-text"/>
    <w:basedOn w:val="1"/>
    <w:qFormat/>
    <w:uiPriority w:val="0"/>
    <w:pPr>
      <w:jc w:val="left"/>
    </w:pPr>
    <w:rPr>
      <w:b/>
      <w:bCs/>
      <w:kern w:val="0"/>
      <w:sz w:val="16"/>
      <w:szCs w:val="16"/>
      <w:lang w:val="en-US" w:eastAsia="zh-CN" w:bidi="ar"/>
    </w:rPr>
  </w:style>
  <w:style w:type="paragraph" w:customStyle="1" w:styleId="179">
    <w:name w:val="panel-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80">
    <w:name w:val="panel-title"/>
    <w:basedOn w:val="1"/>
    <w:qFormat/>
    <w:uiPriority w:val="0"/>
    <w:pPr>
      <w:jc w:val="left"/>
    </w:pPr>
    <w:rPr>
      <w:b/>
      <w:bCs/>
      <w:kern w:val="0"/>
      <w:sz w:val="24"/>
      <w:szCs w:val="24"/>
      <w:lang w:val="en-US" w:eastAsia="zh-CN" w:bidi="ar"/>
    </w:rPr>
  </w:style>
  <w:style w:type="paragraph" w:customStyle="1" w:styleId="181">
    <w:name w:val="panel-action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82">
    <w:name w:val="query-freq-label"/>
    <w:basedOn w:val="1"/>
    <w:qFormat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3">
    <w:name w:val="table-card"/>
    <w:basedOn w:val="1"/>
    <w:qFormat/>
    <w:uiPriority w:val="0"/>
    <w:pPr>
      <w:shd w:val="clear" w:fill="FFFFFF"/>
      <w:jc w:val="left"/>
    </w:pPr>
    <w:rPr>
      <w:kern w:val="0"/>
      <w:lang w:val="en-US" w:eastAsia="zh-CN" w:bidi="ar"/>
    </w:rPr>
  </w:style>
  <w:style w:type="paragraph" w:customStyle="1" w:styleId="184">
    <w:name w:val="query-freq-value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EEF3FA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5">
    <w:name w:val="gk-stat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186">
    <w:name w:val="ym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7">
    <w:name w:val="ym-label"/>
    <w:basedOn w:val="1"/>
    <w:qFormat/>
    <w:uiPriority w:val="0"/>
    <w:pPr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88">
    <w:name w:val="cock-compan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89">
    <w:name w:val="cock-company-head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190">
    <w:name w:val="cock-group-title"/>
    <w:basedOn w:val="1"/>
    <w:qFormat/>
    <w:uiPriority w:val="0"/>
    <w:pPr>
      <w:pBdr>
        <w:left w:val="none" w:color="auto" w:sz="0" w:space="0"/>
      </w:pBdr>
      <w:spacing w:before="150" w:beforeAutospacing="0" w:after="90" w:afterAutospacing="0"/>
      <w:ind w:left="0" w:right="0"/>
      <w:jc w:val="left"/>
    </w:pPr>
    <w:rPr>
      <w:b/>
      <w:bCs/>
      <w:kern w:val="0"/>
      <w:sz w:val="18"/>
      <w:szCs w:val="18"/>
      <w:lang w:val="en-US" w:eastAsia="zh-CN" w:bidi="ar"/>
    </w:rPr>
  </w:style>
  <w:style w:type="paragraph" w:customStyle="1" w:styleId="191">
    <w:name w:val="cock-chart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2">
    <w:name w:val="chart-car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193">
    <w:name w:val="ck-bar"/>
    <w:basedOn w:val="1"/>
    <w:qFormat/>
    <w:uiPriority w:val="0"/>
    <w:pPr>
      <w:spacing w:after="150" w:afterAutospacing="0"/>
      <w:jc w:val="left"/>
    </w:pPr>
    <w:rPr>
      <w:kern w:val="0"/>
      <w:lang w:val="en-US" w:eastAsia="zh-CN" w:bidi="ar"/>
    </w:rPr>
  </w:style>
  <w:style w:type="paragraph" w:customStyle="1" w:styleId="194">
    <w:name w:val="chart-title"/>
    <w:basedOn w:val="1"/>
    <w:qFormat/>
    <w:uiPriority w:val="0"/>
    <w:pPr>
      <w:spacing w:after="150" w:afterAutospacing="0"/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195">
    <w:name w:val="ck-leg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196">
    <w:name w:val="gk-strip"/>
    <w:basedOn w:val="1"/>
    <w:qFormat/>
    <w:uiPriority w:val="0"/>
    <w:pPr>
      <w:pBdr>
        <w:top w:val="single" w:color="D8EAFB" w:sz="6" w:space="6"/>
        <w:left w:val="single" w:color="D8EAFB" w:sz="6" w:space="9"/>
        <w:bottom w:val="single" w:color="D8EAFB" w:sz="6" w:space="6"/>
        <w:right w:val="single" w:color="D8EAFB" w:sz="6" w:space="9"/>
      </w:pBdr>
      <w:shd w:val="clear" w:fill="F4FAFF"/>
      <w:spacing w:before="210" w:beforeAutospacing="0" w:after="180" w:afterAutospacing="0"/>
      <w:ind w:left="0" w:right="0"/>
      <w:jc w:val="left"/>
    </w:pPr>
    <w:rPr>
      <w:b/>
      <w:bCs/>
      <w:spacing w:val="30"/>
      <w:kern w:val="0"/>
      <w:sz w:val="22"/>
      <w:szCs w:val="22"/>
      <w:lang w:val="en-US" w:eastAsia="zh-CN" w:bidi="ar"/>
    </w:rPr>
  </w:style>
  <w:style w:type="paragraph" w:customStyle="1" w:styleId="197">
    <w:name w:val="cat-filter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198">
    <w:name w:val="ck-vbars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199">
    <w:name w:val="ck-vba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00">
    <w:name w:val="ck-vbar-col"/>
    <w:basedOn w:val="1"/>
    <w:qFormat/>
    <w:uiPriority w:val="0"/>
    <w:pPr>
      <w:spacing w:before="0" w:beforeAutospacing="1"/>
      <w:jc w:val="left"/>
    </w:pPr>
    <w:rPr>
      <w:kern w:val="0"/>
      <w:lang w:val="en-US" w:eastAsia="zh-CN" w:bidi="ar"/>
    </w:rPr>
  </w:style>
  <w:style w:type="paragraph" w:customStyle="1" w:styleId="201">
    <w:name w:val="caliber-tabs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02">
    <w:name w:val="ck-axis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03">
    <w:name w:val="toas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color w:val="FFFFFF"/>
      <w:kern w:val="0"/>
      <w:sz w:val="19"/>
      <w:szCs w:val="19"/>
      <w:lang w:val="en-US" w:eastAsia="zh-CN" w:bidi="ar"/>
    </w:rPr>
  </w:style>
  <w:style w:type="paragraph" w:customStyle="1" w:styleId="204">
    <w:name w:val="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205">
    <w:name w:val="gq-meta"/>
    <w:basedOn w:val="1"/>
    <w:qFormat/>
    <w:uiPriority w:val="0"/>
    <w:pPr>
      <w:jc w:val="left"/>
    </w:pPr>
    <w:rPr>
      <w:color w:val="EAF6FF"/>
      <w:kern w:val="0"/>
      <w:sz w:val="18"/>
      <w:szCs w:val="18"/>
      <w:lang w:val="en-US" w:eastAsia="zh-CN" w:bidi="ar"/>
    </w:rPr>
  </w:style>
  <w:style w:type="paragraph" w:customStyle="1" w:styleId="206">
    <w:name w:val="btn-primary"/>
    <w:basedOn w:val="1"/>
    <w:qFormat/>
    <w:uiPriority w:val="0"/>
    <w:pPr>
      <w:jc w:val="left"/>
    </w:pPr>
    <w:rPr>
      <w:color w:val="FFFFFF"/>
      <w:kern w:val="0"/>
      <w:lang w:val="en-US" w:eastAsia="zh-CN" w:bidi="ar"/>
    </w:rPr>
  </w:style>
  <w:style w:type="paragraph" w:customStyle="1" w:styleId="207">
    <w:name w:val="caliber-ta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kern w:val="0"/>
      <w:lang w:val="en-US" w:eastAsia="zh-CN" w:bidi="ar"/>
    </w:rPr>
  </w:style>
  <w:style w:type="paragraph" w:customStyle="1" w:styleId="208">
    <w:name w:val="kpi-row"/>
    <w:basedOn w:val="1"/>
    <w:qFormat/>
    <w:uiPriority w:val="0"/>
    <w:pPr>
      <w:spacing w:after="180" w:afterAutospacing="0"/>
      <w:jc w:val="left"/>
    </w:pPr>
    <w:rPr>
      <w:kern w:val="0"/>
      <w:lang w:val="en-US" w:eastAsia="zh-CN" w:bidi="ar"/>
    </w:rPr>
  </w:style>
  <w:style w:type="paragraph" w:customStyle="1" w:styleId="209">
    <w:name w:val="gq-bar-bg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0">
    <w:name w:val="gk-2r-r"/>
    <w:basedOn w:val="1"/>
    <w:qFormat/>
    <w:uiPriority w:val="0"/>
    <w:pPr>
      <w:jc w:val="left"/>
    </w:pPr>
    <w:rPr>
      <w:kern w:val="0"/>
      <w:sz w:val="16"/>
      <w:szCs w:val="16"/>
      <w:lang w:val="en-US" w:eastAsia="zh-CN" w:bidi="ar"/>
    </w:rPr>
  </w:style>
  <w:style w:type="paragraph" w:customStyle="1" w:styleId="211">
    <w:name w:val="gk-stat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2">
    <w:name w:val="gq-fil-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3">
    <w:name w:val="gq-bar-left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14">
    <w:name w:val="gq-sel"/>
    <w:basedOn w:val="1"/>
    <w:qFormat/>
    <w:uiPriority w:val="0"/>
    <w:pPr>
      <w:pBdr>
        <w:top w:val="single" w:color="CFE0F4" w:sz="6" w:space="4"/>
        <w:left w:val="single" w:color="CFE0F4" w:sz="6" w:space="7"/>
        <w:bottom w:val="single" w:color="CFE0F4" w:sz="6" w:space="4"/>
        <w:right w:val="single" w:color="CFE0F4" w:sz="6" w:space="7"/>
      </w:pBdr>
      <w:shd w:val="clear" w:fill="FFFFFF"/>
      <w:jc w:val="left"/>
    </w:pPr>
    <w:rPr>
      <w:b/>
      <w:bCs/>
      <w:color w:val="33475F"/>
      <w:kern w:val="0"/>
      <w:sz w:val="19"/>
      <w:szCs w:val="19"/>
      <w:lang w:val="en-US" w:eastAsia="zh-CN" w:bidi="ar"/>
    </w:rPr>
  </w:style>
  <w:style w:type="paragraph" w:customStyle="1" w:styleId="215">
    <w:name w:val="gk-calswitch"/>
    <w:basedOn w:val="1"/>
    <w:qFormat/>
    <w:uiPriority w:val="0"/>
    <w:pPr>
      <w:spacing w:before="0" w:beforeAutospacing="0" w:after="18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216">
    <w:name w:val="gq-sel-ico"/>
    <w:basedOn w:val="1"/>
    <w:qFormat/>
    <w:uiPriority w:val="0"/>
    <w:pPr>
      <w:jc w:val="left"/>
    </w:pPr>
    <w:rPr>
      <w:kern w:val="0"/>
      <w:sz w:val="18"/>
      <w:szCs w:val="18"/>
      <w:lang w:val="en-US" w:eastAsia="zh-CN" w:bidi="ar"/>
    </w:rPr>
  </w:style>
  <w:style w:type="paragraph" w:customStyle="1" w:styleId="217">
    <w:name w:val="gq-sel-chev"/>
    <w:basedOn w:val="1"/>
    <w:qFormat/>
    <w:uiPriority w:val="0"/>
    <w:pPr>
      <w:jc w:val="left"/>
    </w:pPr>
    <w:rPr>
      <w:color w:val="7D94AD"/>
      <w:kern w:val="0"/>
      <w:sz w:val="16"/>
      <w:szCs w:val="16"/>
      <w:lang w:val="en-US" w:eastAsia="zh-CN" w:bidi="ar"/>
    </w:rPr>
  </w:style>
  <w:style w:type="paragraph" w:customStyle="1" w:styleId="218">
    <w:name w:val="topnav-sub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vanish/>
      <w:kern w:val="0"/>
      <w:lang w:val="en-US" w:eastAsia="zh-CN" w:bidi="ar"/>
    </w:rPr>
  </w:style>
  <w:style w:type="paragraph" w:customStyle="1" w:styleId="219">
    <w:name w:val="gq-titl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20">
    <w:name w:val="fz-select-list"/>
    <w:basedOn w:val="1"/>
    <w:qFormat/>
    <w:uiPriority w:val="0"/>
    <w:pPr>
      <w:pBdr>
        <w:top w:val="single" w:color="CFE0F4" w:sz="6" w:space="3"/>
        <w:left w:val="single" w:color="CFE0F4" w:sz="6" w:space="3"/>
        <w:bottom w:val="single" w:color="CFE0F4" w:sz="6" w:space="3"/>
        <w:right w:val="single" w:color="CFE0F4" w:sz="6" w:space="3"/>
      </w:pBdr>
      <w:shd w:val="clear" w:fill="FFFFFF"/>
      <w:jc w:val="left"/>
    </w:pPr>
    <w:rPr>
      <w:vanish/>
      <w:kern w:val="0"/>
      <w:lang w:val="en-US" w:eastAsia="zh-CN" w:bidi="ar"/>
    </w:rPr>
  </w:style>
  <w:style w:type="paragraph" w:customStyle="1" w:styleId="221">
    <w:name w:val="topnav-drop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22">
    <w:name w:val="topnav-sub-cap"/>
    <w:basedOn w:val="1"/>
    <w:qFormat/>
    <w:uiPriority w:val="0"/>
    <w:pPr>
      <w:pBdr>
        <w:top w:val="none" w:color="auto" w:sz="0" w:space="0"/>
        <w:left w:val="none" w:color="auto" w:sz="0" w:space="0"/>
        <w:bottom w:val="dashed" w:color="DCEAFA" w:sz="6" w:space="5"/>
        <w:right w:val="none" w:color="auto" w:sz="0" w:space="0"/>
      </w:pBdr>
      <w:spacing w:after="90" w:afterAutospacing="0"/>
      <w:jc w:val="left"/>
    </w:pPr>
    <w:rPr>
      <w:color w:val="8AA2BD"/>
      <w:spacing w:val="30"/>
      <w:kern w:val="0"/>
      <w:sz w:val="15"/>
      <w:szCs w:val="15"/>
      <w:lang w:val="en-US" w:eastAsia="zh-CN" w:bidi="ar"/>
    </w:rPr>
  </w:style>
  <w:style w:type="paragraph" w:customStyle="1" w:styleId="223">
    <w:name w:val="topnav-chev"/>
    <w:basedOn w:val="1"/>
    <w:qFormat/>
    <w:uiPriority w:val="0"/>
    <w:pPr>
      <w:ind w:left="75"/>
      <w:jc w:val="left"/>
    </w:pPr>
    <w:rPr>
      <w:kern w:val="0"/>
      <w:sz w:val="15"/>
      <w:szCs w:val="15"/>
      <w:lang w:val="en-US" w:eastAsia="zh-CN" w:bidi="ar"/>
    </w:rPr>
  </w:style>
  <w:style w:type="paragraph" w:customStyle="1" w:styleId="224">
    <w:name w:val="gk-row"/>
    <w:basedOn w:val="1"/>
    <w:qFormat/>
    <w:uiPriority w:val="0"/>
    <w:pPr>
      <w:spacing w:after="60" w:afterAutospacing="0"/>
      <w:jc w:val="left"/>
    </w:pPr>
    <w:rPr>
      <w:kern w:val="0"/>
      <w:lang w:val="en-US" w:eastAsia="zh-CN" w:bidi="ar"/>
    </w:rPr>
  </w:style>
  <w:style w:type="paragraph" w:customStyle="1" w:styleId="225">
    <w:name w:val="gk-info"/>
    <w:basedOn w:val="1"/>
    <w:qFormat/>
    <w:uiPriority w:val="0"/>
    <w:pPr>
      <w:ind w:left="0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226">
    <w:name w:val="gk-tip"/>
    <w:basedOn w:val="1"/>
    <w:qFormat/>
    <w:uiPriority w:val="0"/>
    <w:pPr>
      <w:spacing w:line="15" w:lineRule="atLeast"/>
      <w:ind w:left="90"/>
      <w:jc w:val="left"/>
      <w:textAlignment w:val="auto"/>
    </w:pPr>
    <w:rPr>
      <w:b/>
      <w:bCs/>
      <w:color w:val="FFFFFF"/>
      <w:kern w:val="0"/>
      <w:sz w:val="15"/>
      <w:szCs w:val="15"/>
      <w:lang w:val="en-US" w:eastAsia="zh-CN" w:bidi="ar"/>
    </w:rPr>
  </w:style>
  <w:style w:type="paragraph" w:customStyle="1" w:styleId="227">
    <w:name w:val="gk-tip-float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line="24" w:lineRule="atLeast"/>
      <w:jc w:val="left"/>
    </w:pPr>
    <w:rPr>
      <w:vanish/>
      <w:color w:val="FFFFFF"/>
      <w:spacing w:val="8"/>
      <w:kern w:val="0"/>
      <w:sz w:val="18"/>
      <w:szCs w:val="18"/>
      <w:lang w:val="en-US" w:eastAsia="zh-CN" w:bidi="ar"/>
    </w:rPr>
  </w:style>
  <w:style w:type="paragraph" w:customStyle="1" w:styleId="228">
    <w:name w:val="gk-body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29">
    <w:name w:val="gk-np-cap"/>
    <w:basedOn w:val="1"/>
    <w:qFormat/>
    <w:uiPriority w:val="0"/>
    <w:pPr>
      <w:spacing w:after="75" w:afterAutospacing="0"/>
      <w:jc w:val="left"/>
    </w:pPr>
    <w:rPr>
      <w:spacing w:val="15"/>
      <w:kern w:val="0"/>
      <w:sz w:val="15"/>
      <w:szCs w:val="15"/>
      <w:lang w:val="en-US" w:eastAsia="zh-CN" w:bidi="ar"/>
    </w:rPr>
  </w:style>
  <w:style w:type="paragraph" w:customStyle="1" w:styleId="230">
    <w:name w:val="ll"/>
    <w:basedOn w:val="1"/>
    <w:qFormat/>
    <w:uiPriority w:val="0"/>
    <w:pPr>
      <w:pBdr>
        <w:top w:val="single" w:color="2F9BF2" w:sz="12" w:space="0"/>
        <w:left w:val="single" w:color="2F9BF2" w:sz="12" w:space="0"/>
        <w:bottom w:val="single" w:color="2F9BF2" w:sz="12" w:space="0"/>
        <w:right w:val="single" w:color="2F9BF2" w:sz="12" w:space="0"/>
      </w:pBdr>
      <w:shd w:val="clear" w:fill="FFFFFF"/>
      <w:ind w:right="75"/>
      <w:jc w:val="left"/>
    </w:pPr>
    <w:rPr>
      <w:kern w:val="0"/>
      <w:lang w:val="en-US" w:eastAsia="zh-CN" w:bidi="ar"/>
    </w:rPr>
  </w:style>
  <w:style w:type="paragraph" w:customStyle="1" w:styleId="231">
    <w:name w:val="gk-trend12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2">
    <w:name w:val="gk-wide-card"/>
    <w:basedOn w:val="1"/>
    <w:qFormat/>
    <w:uiPriority w:val="0"/>
    <w:pPr>
      <w:spacing w:after="0" w:afterAutospacing="0"/>
      <w:jc w:val="left"/>
    </w:pPr>
    <w:rPr>
      <w:kern w:val="0"/>
      <w:lang w:val="en-US" w:eastAsia="zh-CN" w:bidi="ar"/>
    </w:rPr>
  </w:style>
  <w:style w:type="paragraph" w:customStyle="1" w:styleId="233">
    <w:name w:val="gk-wide-card2"/>
    <w:basedOn w:val="1"/>
    <w:qFormat/>
    <w:uiPriority w:val="0"/>
    <w:pPr>
      <w:spacing w:after="210" w:afterAutospacing="0"/>
      <w:jc w:val="left"/>
    </w:pPr>
    <w:rPr>
      <w:kern w:val="0"/>
      <w:lang w:val="en-US" w:eastAsia="zh-CN" w:bidi="ar"/>
    </w:rPr>
  </w:style>
  <w:style w:type="paragraph" w:customStyle="1" w:styleId="234">
    <w:name w:val="kpi-trend-nam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5">
    <w:name w:val="kpi-delta"/>
    <w:basedOn w:val="1"/>
    <w:qFormat/>
    <w:uiPriority w:val="0"/>
    <w:pPr>
      <w:jc w:val="left"/>
    </w:pPr>
    <w:rPr>
      <w:b/>
      <w:bCs/>
      <w:kern w:val="0"/>
      <w:lang w:val="en-US" w:eastAsia="zh-CN" w:bidi="ar"/>
    </w:rPr>
  </w:style>
  <w:style w:type="paragraph" w:customStyle="1" w:styleId="236">
    <w:name w:val="kpi-delta2"/>
    <w:basedOn w:val="1"/>
    <w:qFormat/>
    <w:uiPriority w:val="0"/>
    <w:pPr>
      <w:jc w:val="left"/>
    </w:pPr>
    <w:rPr>
      <w:rFonts w:hint="default" w:ascii="Courier New" w:hAnsi="Courier New" w:cs="Courier New"/>
      <w:b/>
      <w:bCs/>
      <w:kern w:val="0"/>
      <w:lang w:val="en-US" w:eastAsia="zh-CN" w:bidi="ar"/>
    </w:rPr>
  </w:style>
  <w:style w:type="paragraph" w:customStyle="1" w:styleId="237">
    <w:name w:val="gk-t12-hover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38">
    <w:name w:val="gk-2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jc w:val="left"/>
    </w:pPr>
    <w:rPr>
      <w:kern w:val="0"/>
      <w:lang w:val="en-US" w:eastAsia="zh-CN" w:bidi="ar"/>
    </w:rPr>
  </w:style>
  <w:style w:type="paragraph" w:customStyle="1" w:styleId="239">
    <w:name w:val="gk-2r-line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0">
    <w:name w:val="gk-2r-v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1">
    <w:name w:val="gk-caltab"/>
    <w:basedOn w:val="1"/>
    <w:qFormat/>
    <w:uiPriority w:val="0"/>
    <w:pPr>
      <w:pBdr>
        <w:top w:val="single" w:color="B9D7F5" w:sz="6" w:space="4"/>
        <w:left w:val="single" w:color="B9D7F5" w:sz="6" w:space="10"/>
        <w:bottom w:val="single" w:color="B9D7F5" w:sz="6" w:space="4"/>
        <w:right w:val="single" w:color="B9D7F5" w:sz="6" w:space="10"/>
      </w:pBdr>
      <w:shd w:val="clear" w:fill="FFFFFF"/>
      <w:jc w:val="left"/>
    </w:pPr>
    <w:rPr>
      <w:b/>
      <w:bCs/>
      <w:color w:val="33475F"/>
      <w:spacing w:val="8"/>
      <w:kern w:val="0"/>
      <w:sz w:val="18"/>
      <w:szCs w:val="18"/>
      <w:lang w:val="en-US" w:eastAsia="zh-CN" w:bidi="ar"/>
    </w:rPr>
  </w:style>
  <w:style w:type="paragraph" w:customStyle="1" w:styleId="242">
    <w:name w:val="gk-mcal-body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3">
    <w:name w:val="gk-mcal-tabs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44">
    <w:name w:val="kpi-label"/>
    <w:basedOn w:val="1"/>
    <w:qFormat/>
    <w:uiPriority w:val="0"/>
    <w:pPr>
      <w:spacing w:after="90" w:afterAutospacing="0"/>
      <w:jc w:val="left"/>
    </w:pPr>
    <w:rPr>
      <w:kern w:val="0"/>
      <w:sz w:val="18"/>
      <w:szCs w:val="18"/>
      <w:lang w:val="en-US" w:eastAsia="zh-CN" w:bidi="ar"/>
    </w:rPr>
  </w:style>
  <w:style w:type="paragraph" w:customStyle="1" w:styleId="245">
    <w:name w:val="kpi-trends"/>
    <w:basedOn w:val="1"/>
    <w:qFormat/>
    <w:uiPriority w:val="0"/>
    <w:pPr>
      <w:spacing w:before="120" w:beforeAutospacing="0"/>
      <w:jc w:val="left"/>
    </w:pPr>
    <w:rPr>
      <w:kern w:val="0"/>
      <w:lang w:val="en-US" w:eastAsia="zh-CN" w:bidi="ar"/>
    </w:rPr>
  </w:style>
  <w:style w:type="paragraph" w:customStyle="1" w:styleId="246">
    <w:name w:val="collapse-arrow"/>
    <w:basedOn w:val="1"/>
    <w:qFormat/>
    <w:uiPriority w:val="0"/>
    <w:pPr>
      <w:jc w:val="left"/>
    </w:pPr>
    <w:rPr>
      <w:kern w:val="0"/>
      <w:sz w:val="15"/>
      <w:szCs w:val="15"/>
      <w:lang w:val="en-US" w:eastAsia="zh-CN" w:bidi="ar"/>
    </w:rPr>
  </w:style>
  <w:style w:type="paragraph" w:customStyle="1" w:styleId="247">
    <w:name w:val="collapse-hint"/>
    <w:basedOn w:val="1"/>
    <w:qFormat/>
    <w:uiPriority w:val="0"/>
    <w:pPr>
      <w:ind w:left="0"/>
      <w:jc w:val="left"/>
    </w:pPr>
    <w:rPr>
      <w:color w:val="9CA3AF"/>
      <w:kern w:val="0"/>
      <w:sz w:val="16"/>
      <w:szCs w:val="16"/>
      <w:lang w:val="en-US" w:eastAsia="zh-CN" w:bidi="ar"/>
    </w:rPr>
  </w:style>
  <w:style w:type="paragraph" w:customStyle="1" w:styleId="248">
    <w:name w:val="delta-arrow"/>
    <w:basedOn w:val="1"/>
    <w:qFormat/>
    <w:uiPriority w:val="0"/>
    <w:pPr>
      <w:spacing w:line="15" w:lineRule="atLeast"/>
      <w:ind w:right="45"/>
      <w:jc w:val="left"/>
    </w:pPr>
    <w:rPr>
      <w:rFonts w:ascii="Arial" w:hAnsi="Arial" w:cs="Arial"/>
      <w:kern w:val="0"/>
      <w:sz w:val="13"/>
      <w:szCs w:val="13"/>
      <w:lang w:val="en-US" w:eastAsia="zh-CN" w:bidi="ar"/>
    </w:rPr>
  </w:style>
  <w:style w:type="paragraph" w:customStyle="1" w:styleId="249">
    <w:name w:val="cat-filter-label"/>
    <w:basedOn w:val="1"/>
    <w:qFormat/>
    <w:uiPriority w:val="0"/>
    <w:pPr>
      <w:jc w:val="left"/>
    </w:pPr>
    <w:rPr>
      <w:b/>
      <w:bCs/>
      <w:kern w:val="0"/>
      <w:sz w:val="19"/>
      <w:szCs w:val="19"/>
      <w:lang w:val="en-US" w:eastAsia="zh-CN" w:bidi="ar"/>
    </w:rPr>
  </w:style>
  <w:style w:type="paragraph" w:customStyle="1" w:styleId="250">
    <w:name w:val="progress-fill"/>
    <w:basedOn w:val="1"/>
    <w:qFormat/>
    <w:uiPriority w:val="0"/>
    <w:pPr>
      <w:jc w:val="left"/>
    </w:pPr>
    <w:rPr>
      <w:kern w:val="0"/>
      <w:lang w:val="en-US" w:eastAsia="zh-CN" w:bidi="ar"/>
    </w:rPr>
  </w:style>
  <w:style w:type="paragraph" w:customStyle="1" w:styleId="251">
    <w:name w:val="caliber-tab-sub"/>
    <w:basedOn w:val="1"/>
    <w:qFormat/>
    <w:uiPriority w:val="0"/>
    <w:pPr>
      <w:spacing w:line="21" w:lineRule="atLeast"/>
      <w:jc w:val="left"/>
    </w:pPr>
    <w:rPr>
      <w:kern w:val="0"/>
      <w:sz w:val="16"/>
      <w:szCs w:val="16"/>
      <w:lang w:val="en-US" w:eastAsia="zh-CN" w:bidi="ar"/>
    </w:rPr>
  </w:style>
  <w:style w:type="paragraph" w:customStyle="1" w:styleId="252">
    <w:name w:val="cat-filter-btn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FFFFF"/>
      <w:jc w:val="left"/>
    </w:pPr>
    <w:rPr>
      <w:b/>
      <w:bCs/>
      <w:kern w:val="0"/>
      <w:sz w:val="19"/>
      <w:szCs w:val="19"/>
      <w:lang w:val="en-US" w:eastAsia="zh-CN" w:bidi="ar"/>
    </w:rPr>
  </w:style>
  <w:style w:type="character" w:customStyle="1" w:styleId="253">
    <w:name w:val="ph1"/>
    <w:basedOn w:val="15"/>
    <w:qFormat/>
    <w:uiPriority w:val="0"/>
    <w:rPr>
      <w:rFonts w:ascii="黑体" w:hAnsi="宋体" w:eastAsia="黑体" w:cs="黑体"/>
      <w:b/>
      <w:bCs/>
      <w:color w:val="404040"/>
      <w:spacing w:val="0"/>
    </w:rPr>
  </w:style>
  <w:style w:type="character" w:customStyle="1" w:styleId="254">
    <w:name w:val="cnt7"/>
    <w:basedOn w:val="15"/>
    <w:qFormat/>
    <w:uiPriority w:val="0"/>
    <w:rPr>
      <w:b/>
      <w:bCs/>
      <w:color w:val="C8962E"/>
      <w:sz w:val="18"/>
      <w:szCs w:val="18"/>
    </w:rPr>
  </w:style>
  <w:style w:type="character" w:customStyle="1" w:styleId="255">
    <w:name w:val="hl-exp1"/>
    <w:basedOn w:val="15"/>
    <w:qFormat/>
    <w:uiPriority w:val="0"/>
    <w:rPr>
      <w:b/>
      <w:bCs/>
      <w:color w:val="000000"/>
      <w:shd w:val="clear" w:fill="FFF2CC"/>
    </w:rPr>
  </w:style>
  <w:style w:type="character" w:customStyle="1" w:styleId="256">
    <w:name w:val="xmark1"/>
    <w:basedOn w:val="15"/>
    <w:qFormat/>
    <w:uiPriority w:val="0"/>
    <w:rPr>
      <w:b/>
      <w:bCs/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31</Pages>
  <Words>1352</Words>
  <Characters>1508</Characters>
  <TotalTime>0</TotalTime>
  <ScaleCrop>false</ScaleCrop>
  <LinksUpToDate>false</LinksUpToDate>
  <CharactersWithSpaces>1568</CharactersWithSpaces>
  <Application>WPS Office_12.8.2.19315_F1E327BC-269C-435d-A152-05C5408002CA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2026-10-09T03:41:00Z</dcterms:created>
  <dc:creator>ex-liaox003</dc:creator>
  <cp:lastModifiedBy>ex-liaox003</cp:lastModifiedBy>
  <dcterms:modified xsi:type="dcterms:W3CDTF">2026-10-12T06:21:28Z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4F43E2BE4EF3420ABCE32AA4395D3242_13</vt:lpwstr>
  </property>
  <property fmtid="{D5CDD505-2E9C-101B-9397-08002B2CF9AE}" pid="4" name="KSOTemplateDocerSaveRecord">
    <vt:lpwstr>eyJoZGlkIjoiYjcxZGZkMmMzY2RhZjljOWU0ZGNmMzQzMzljZGRkMzQiLCJ1c2VySWQiOiIyNjQ4NDA1MjIifQ==</vt:lpwstr>
  </property>
</Properties>
</file>