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71638E">
      <w:pPr>
        <w:pStyle w:val="13"/>
        <w:keepNext w:val="0"/>
        <w:keepLines w:val="0"/>
        <w:widowControl/>
        <w:suppressLineNumbers w:val="0"/>
        <w:spacing w:before="340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华润银行模块</w:t>
      </w:r>
    </w:p>
    <w:p w14:paraId="1B095BF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32"/>
          <w:szCs w:val="32"/>
          <w:shd w:val="clear" w:fill="FFFFFF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数据应用需求文档</w:t>
      </w: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(固定报表管理、报表台账管理)</w:t>
      </w:r>
    </w:p>
    <w:p w14:paraId="3D5E82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</w:pPr>
    </w:p>
    <w:p w14:paraId="0E142878">
      <w:pPr>
        <w:spacing w:before="200" w:after="16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修订历史记录</w:t>
      </w:r>
    </w:p>
    <w:tbl>
      <w:tblPr>
        <w:tblStyle w:val="14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2452"/>
        <w:gridCol w:w="1153"/>
      </w:tblGrid>
      <w:tr w14:paraId="15A0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A9BBC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62369D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18D993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2096FB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93822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审核人</w:t>
            </w:r>
          </w:p>
        </w:tc>
      </w:tr>
      <w:tr w14:paraId="5E6A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DDFBD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34463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AC4124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廖霞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FCFCA8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初始版本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13FC7D">
            <w:pPr>
              <w:spacing w:before="40" w:after="40"/>
              <w:jc w:val="center"/>
            </w:pPr>
          </w:p>
        </w:tc>
      </w:tr>
    </w:tbl>
    <w:p w14:paraId="27BC195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8F5AA1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9460A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E13129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1D1F0D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F0CD46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361A31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B3666C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F2AB90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D6CAE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C5704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3F325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D809E4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AF3495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87B8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399A28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96E9B9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AB104C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112637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A63EAC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759044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045DB05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eastAsiaTheme="minorEastAsia"/>
          <w:lang w:eastAsia="zh-CN"/>
        </w:rPr>
      </w:pPr>
    </w:p>
    <w:p w14:paraId="72310016">
      <w:pPr>
        <w:pStyle w:val="13"/>
        <w:keepNext w:val="0"/>
        <w:keepLines w:val="0"/>
        <w:pageBreakBefore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4E79A8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0" w:name="_Toc27620"/>
      <w:r>
        <w:rPr>
          <w:shd w:val="clear" w:fill="FFFFFF"/>
        </w:rPr>
        <w:t>一、引言</w:t>
      </w:r>
      <w:bookmarkEnd w:id="0"/>
    </w:p>
    <w:p w14:paraId="54DD15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shd w:val="clear" w:fill="FFFFFF"/>
        </w:rPr>
      </w:pPr>
      <w:bookmarkStart w:id="1" w:name="_Toc21794"/>
      <w:r>
        <w:rPr>
          <w:shd w:val="clear" w:fill="FFFFFF"/>
        </w:rPr>
        <w:t>1、需求背景</w:t>
      </w:r>
      <w:bookmarkEnd w:id="1"/>
    </w:p>
    <w:p w14:paraId="1E0F182E"/>
    <w:p w14:paraId="1A5C3A7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 w:firstLine="420" w:firstLineChars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金控集团战略部推进指标体系数据化应用，在金控指标体系之上建设「数据应用」平台，以「固定报表管理」模块将各业务板块指标体系固化为线上报表，替代线下 Excel 报送与查阅，实现指标展示口径的统一与实时化。</w:t>
      </w:r>
    </w:p>
    <w:p w14:paraId="3A1C7BE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本文档为平台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华润银行模块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的需求说明：围绕 9 张固定报表，定义页面框架、指标清单、层级与标签、展示与取值规则，作为开发实现与业务核对的依据。文档中指标名称、单位、层级与列结构均与指标体系梳理结果一致；当前数值为演示示例，正式环境由数据接口替换，展示规则不变。</w:t>
      </w:r>
    </w:p>
    <w:p w14:paraId="47C0AA8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2065EE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2" w:name="_Toc11318"/>
      <w:r>
        <w:rPr>
          <w:shd w:val="clear" w:fill="FFFFFF"/>
        </w:rPr>
        <w:t>2、术语与定义</w:t>
      </w:r>
      <w:bookmarkEnd w:id="2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99"/>
        <w:gridCol w:w="6897"/>
      </w:tblGrid>
      <w:tr w14:paraId="22E9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29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41C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术语/列名</w:t>
            </w:r>
          </w:p>
        </w:tc>
        <w:tc>
          <w:tcPr>
            <w:tcW w:w="3709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BE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口径说明</w:t>
            </w:r>
          </w:p>
        </w:tc>
      </w:tr>
      <w:tr w14:paraId="2D2D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395A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去年末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D373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上一自然年年末值</w:t>
            </w:r>
          </w:p>
        </w:tc>
      </w:tr>
      <w:tr w14:paraId="4CCA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C64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当月值-实际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73A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当月单月发生数（流量指标）；时点/比率类指标不适用时置 --</w:t>
            </w:r>
          </w:p>
        </w:tc>
      </w:tr>
      <w:tr w14:paraId="4E20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812D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当月值-环比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332F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当月较上月变动幅度（%）；比率类为百分点差（ppt）</w:t>
            </w:r>
          </w:p>
        </w:tc>
      </w:tr>
      <w:tr w14:paraId="55E8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63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截止本月末-实际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A6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本月末时点数（存量）或本年累计发生数（流量），以各指标口径为准</w:t>
            </w:r>
          </w:p>
        </w:tc>
      </w:tr>
      <w:tr w14:paraId="764D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C0F5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同比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197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较上年同期变动幅度（%）；比率类指标为百分点差（ppt）</w:t>
            </w:r>
          </w:p>
        </w:tc>
      </w:tr>
      <w:tr w14:paraId="042A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D691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较年初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F38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较去年末变动幅度（%）；比率类为 ppt；部分报表已按需求删除/隐藏该列</w:t>
            </w:r>
          </w:p>
        </w:tc>
      </w:tr>
      <w:tr w14:paraId="17AE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7C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 / 预算达成率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51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全年预算来源于业务在通用报送平台的维护数据；达成率 =（截止本月末实际 ÷ 全年预算）× 100%（含进度条分色：≥95% 绿、85~95 黄、&lt;85% 红）；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净增量口径例外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：公司有效客户数、基石客户、产融协同客户数、代发客户数、零售高净值客户数 =（截止本月末实际 − 上一年度年末实际）÷ 全年预算 × 100%</w:t>
            </w:r>
          </w:p>
        </w:tc>
      </w:tr>
      <w:tr w14:paraId="4E2A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80E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考核指标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6A5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纳入绩效考核的指标，蓝色标签；唯一有权显示预算/达成率的行</w:t>
            </w:r>
          </w:p>
        </w:tc>
      </w:tr>
      <w:tr w14:paraId="28BA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CED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高质量指标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5EB3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高质量发展监测指标，绿色标签；可与考核指标双标签并存</w:t>
            </w:r>
          </w:p>
        </w:tc>
      </w:tr>
      <w:tr w14:paraId="0A96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E9B8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监管要求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949B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监管红线阈值（03 表专用列，如 ≥100%、≥10.5%）</w:t>
            </w:r>
          </w:p>
        </w:tc>
      </w:tr>
      <w:tr w14:paraId="0C21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AB9C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ppt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72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percentage point，百分点：两个百分比数值的算术差（如 4.35%→4.10% 为 -0.25ppt）</w:t>
            </w:r>
          </w:p>
        </w:tc>
      </w:tr>
      <w:tr w14:paraId="4C85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8956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 与 --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DA58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N/A=所选期间无历史数据（灰）；--=该指标此列不适用/无值（灰色加粗）</w:t>
            </w:r>
          </w:p>
        </w:tc>
      </w:tr>
    </w:tbl>
    <w:p w14:paraId="056A85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3" w:name="_Toc31936"/>
      <w:r>
        <w:rPr>
          <w:shd w:val="clear" w:fill="FFFFFF"/>
        </w:rPr>
        <w:t>3、需求范围</w:t>
      </w:r>
      <w:bookmarkEnd w:id="3"/>
    </w:p>
    <w:p w14:paraId="380398F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入口路径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：平台顶部导航「数据应用」→ 左侧菜单「固定报表管理 → 华润银行」→ 点击报表名称进入对应页面。</w:t>
      </w:r>
    </w:p>
    <w:p w14:paraId="5638F5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范围内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：①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固定报表需求说明（2.1）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 9 张固定报表的通用展示需求（2.1.1）与分报表差异化需求（2.1.2），含页面框架、数据日期与期间查询、指标概览卡片、明细表结构与取值口径、预算一致性与单元格合并规则；②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报表台账管理需求说明（2.2）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：平台「报表台账管理」菜单下华润银行 9 张报表台账的页面结构、取数与展示规则。</w:t>
      </w:r>
    </w:p>
    <w:p w14:paraId="64E83C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范围外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：数据接口与 ETL 实现、通用报送平台的预算维护功能、平台权限体系实现（权限需求见第三章）。</w:t>
      </w:r>
    </w:p>
    <w:p w14:paraId="59501E2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报表清单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（共 9 张）：</w:t>
      </w:r>
      <w:bookmarkStart w:id="9" w:name="_GoBack"/>
      <w:bookmarkEnd w:id="9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2"/>
        <w:gridCol w:w="993"/>
        <w:gridCol w:w="993"/>
        <w:gridCol w:w="993"/>
        <w:gridCol w:w="1355"/>
        <w:gridCol w:w="1174"/>
        <w:gridCol w:w="993"/>
        <w:gridCol w:w="1174"/>
        <w:gridCol w:w="1535"/>
      </w:tblGrid>
      <w:tr w14:paraId="6BBF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2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2500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BF00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报表名称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E3012F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更新频率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4AB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指标行数</w:t>
            </w:r>
          </w:p>
        </w:tc>
        <w:tc>
          <w:tcPr>
            <w:tcW w:w="688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ED69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指标概览卡片</w:t>
            </w:r>
          </w:p>
        </w:tc>
        <w:tc>
          <w:tcPr>
            <w:tcW w:w="596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4C66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当月值列组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14E0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较年初列</w:t>
            </w:r>
          </w:p>
        </w:tc>
        <w:tc>
          <w:tcPr>
            <w:tcW w:w="596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D8CA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全年预算列</w:t>
            </w:r>
          </w:p>
        </w:tc>
        <w:tc>
          <w:tcPr>
            <w:tcW w:w="78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FCDD8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指标属性标签列</w:t>
            </w:r>
          </w:p>
        </w:tc>
      </w:tr>
      <w:tr w14:paraId="0F40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512E6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7F16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01-资产负债简表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238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3DE6C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B53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FDE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C3E7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AA7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83B6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5ABA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BAC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36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02-损益表简表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776A3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9DA8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673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7F73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A6EA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8DFA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2567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77EE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229A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0DA9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03-关键监测指标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8B0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季度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8376C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96EFE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62E7E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F38A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CBC6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2E4E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4E30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0512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D05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04-收入结构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96E1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0BEA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1908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F79A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B46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18F1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92D31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E05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6C159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8CA4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05-成本结构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118E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B800A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1B9C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2138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985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D17F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77D9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1DAA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971F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8104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06-存贷结构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16FE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218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6A1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89DB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550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8D45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62002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F2D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C3C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0EF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07-利率结构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CC4A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9F01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B560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80344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BC4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0401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935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46C2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C178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C91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08-客群结构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1AA7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CBB05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22B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163C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D30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1DA9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56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51B4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7CEE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ECF3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09-风险情况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AFA0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B72D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37EB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1DD3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9E1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BBB4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EBD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</w:tbl>
    <w:p w14:paraId="4E7E4D7C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注：报表菜单名不显示「(N个)」后缀；06/08/09 表 sheet 名中的个数为 Excel 模板原文标注，实际行数以上表为准（06=30 行、08=14 行、09=15 行）。</w:t>
      </w:r>
    </w:p>
    <w:p w14:paraId="4C7BE5D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4" w:name="_Toc7998"/>
      <w:r>
        <w:rPr>
          <w:shd w:val="clear" w:fill="FFFFFF"/>
        </w:rPr>
        <w:t>二、功能需求</w:t>
      </w:r>
      <w:bookmarkEnd w:id="4"/>
    </w:p>
    <w:p w14:paraId="1CFDF2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5" w:name="_Toc31520"/>
      <w:r>
        <w:rPr>
          <w:shd w:val="clear" w:fill="FFFFFF"/>
        </w:rPr>
        <w:t>2.1　固定报表需求说明</w:t>
      </w:r>
      <w:bookmarkEnd w:id="5"/>
    </w:p>
    <w:p w14:paraId="063725C0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本节约定华润银行 9 张固定报表的通用展示与取值规则（2.1.1），以及每张报表的差异化需求（2.1.2）；报表台账管理需求见 2.2。</w:t>
      </w:r>
    </w:p>
    <w:p w14:paraId="4BA91E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　通用需求（9 张报表共用）</w:t>
      </w:r>
    </w:p>
    <w:p w14:paraId="67B0D97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2.1.1.1　页面框架</w:t>
      </w:r>
    </w:p>
    <w:p w14:paraId="354E206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每张报表页面自上而下由三部分组成：</w:t>
      </w:r>
    </w:p>
    <w:p w14:paraId="4B064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面板头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：左侧页面标题；右侧依次为「更新频率」块（月度/季度）、「📅 数据日期」年+月双下拉、「📥 导出」按钮。</w:t>
      </w:r>
    </w:p>
    <w:p w14:paraId="1F2E4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：折叠条（「指标概览 · 4 项核心 KPI」，默认展开，可点击收起）+ 4 张 KPI 卡片（淡蓝/淡金/淡绿/淡粉四色轮排）；卡片含 指标名、数值+单位、同比行、较年初行（部分报表不显示较年初，见各章）。</w:t>
      </w:r>
    </w:p>
    <w:p w14:paraId="576B2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明细表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：白底卡片内两级表头 + 全量指标行；表头吸顶、超高滚动（最大高度约 600px）。</w:t>
      </w:r>
    </w:p>
    <w:p w14:paraId="74E802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2.1.1.2　数据日期与期间查询</w:t>
      </w:r>
    </w:p>
    <w:p w14:paraId="2A51C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：可选范围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2024 ～ 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A3A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：可选范围为所选年份的 1~12 月，默认选中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日历上月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（有数据）；若当前为 1 月，则默认选中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12 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（年份随之联动为上一年）。</w:t>
      </w:r>
    </w:p>
    <w:p w14:paraId="763C14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季度报表（03-关键监测指标）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：月份下拉切换为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Q1~Q4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季度下拉，默认选中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上一个已完结季度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；补充说明：若当前在 1~3 月，上一个已完结季度为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7F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切换年/月后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自动查询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并重渲染页面，右上角 toast 提示「已加载 XXXX 年 X 月 数据 · 报表名」。</w:t>
      </w:r>
    </w:p>
    <w:p w14:paraId="75AB8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查询加载后无数据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：保留 KPI 卡片、表头、指标行结构，数值显示灰色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，toast 提示「无历史数据，仅显示报表结构」。</w:t>
      </w:r>
    </w:p>
    <w:p w14:paraId="2E83E2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2.1.1.3　指标名称层级样式</w:t>
      </w:r>
    </w:p>
    <w:p w14:paraId="2D79E2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一级（lv0）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：加粗、深蓝色、左对齐顶格。</w:t>
      </w:r>
    </w:p>
    <w:p w14:paraId="4392F6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二级（lv1）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：黑体（SimHei）、正常字重、左对齐。</w:t>
      </w:r>
    </w:p>
    <w:p w14:paraId="33CAB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三级（lv2）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：浅灰色、右对齐（当前银行 9 表中未使用，保留能力）。</w:t>
      </w:r>
    </w:p>
    <w:p w14:paraId="701FC00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2.1.1.4　指标属性标签列（含该列的报表）</w:t>
      </w:r>
    </w:p>
    <w:p w14:paraId="2C542B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蓝色标签「考核指标」；绿色标签「高质量指标」。</w:t>
      </w:r>
    </w:p>
    <w:p w14:paraId="394C0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无标签 → 灰色占位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594A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2.1.1.5　数值与涨跌显示规范</w:t>
      </w:r>
    </w:p>
    <w:p w14:paraId="29B45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数值列：正增长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红色 ▲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、负增长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绿色 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、零值灰色无箭头（金融业惯例：红涨绿跌）。</w:t>
      </w:r>
    </w:p>
    <w:p w14:paraId="278DD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同比/环比/较年初列表头不带 (%) 后缀（2026-09 统一优化），单位随数值单元格自带（% 或 ppt）。</w:t>
      </w:r>
    </w:p>
    <w:p w14:paraId="037D9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占位符统一：数据级占位 - → 灰色加粗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；取不到数据 → 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4ED1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比率类指标（单位 %）的变动值用 ppt（百分点），金额/数量类用 %。</w:t>
      </w:r>
    </w:p>
    <w:p w14:paraId="2618176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2.1.1.6　指标取值说明（去年末、当月值 / 当季值、截止本月末 / 截止本季末、年初余额）</w:t>
      </w:r>
    </w:p>
    <w:p w14:paraId="4AB76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去年末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月、时间维度为【本月末】。</w:t>
      </w:r>
    </w:p>
    <w:p w14:paraId="25429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当月值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，同指标分组编码下，取时间维度为【本月数】。</w:t>
      </w:r>
    </w:p>
    <w:p w14:paraId="294D1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当季值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，同指标分组编码下，取时间维度为【本季数】。</w:t>
      </w:r>
    </w:p>
    <w:p w14:paraId="7055D4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取时间维度为【本月末】。</w:t>
      </w:r>
    </w:p>
    <w:p w14:paraId="4B965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取时间维度为【本季末】。</w:t>
      </w:r>
    </w:p>
    <w:p w14:paraId="30F76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年初余额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，取上一年度 12 月、时间维度为【本月末】。</w:t>
      </w:r>
    </w:p>
    <w:p w14:paraId="241437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2.1.1.7　指标计算公式说明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3"/>
        <w:gridCol w:w="1491"/>
        <w:gridCol w:w="1154"/>
        <w:gridCol w:w="1594"/>
        <w:gridCol w:w="770"/>
        <w:gridCol w:w="1799"/>
        <w:gridCol w:w="1535"/>
      </w:tblGrid>
      <w:tr w14:paraId="2446E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31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E324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时间类型</w:t>
            </w:r>
          </w:p>
        </w:tc>
        <w:tc>
          <w:tcPr>
            <w:tcW w:w="1478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4C05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当月值</w:t>
            </w:r>
          </w:p>
        </w:tc>
        <w:tc>
          <w:tcPr>
            <w:tcW w:w="2206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C1A3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截止本月末</w:t>
            </w:r>
          </w:p>
        </w:tc>
      </w:tr>
      <w:tr w14:paraId="7B4BD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51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A5EB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时间类型</w:t>
            </w:r>
          </w:p>
        </w:tc>
        <w:tc>
          <w:tcPr>
            <w:tcW w:w="8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9D9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举例</w:t>
            </w:r>
          </w:p>
        </w:tc>
        <w:tc>
          <w:tcPr>
            <w:tcW w:w="6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ACB7C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8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648D9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环比</w:t>
            </w:r>
          </w:p>
        </w:tc>
        <w:tc>
          <w:tcPr>
            <w:tcW w:w="4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9BBAD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9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34DC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同比</w:t>
            </w:r>
          </w:p>
        </w:tc>
        <w:tc>
          <w:tcPr>
            <w:tcW w:w="8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1DCBE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较年初</w:t>
            </w:r>
          </w:p>
        </w:tc>
      </w:tr>
      <w:tr w14:paraId="505A9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FCA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D3D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（保费、收入、利润）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D4F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截止本月累计-截止上月累计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1017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(本月当月值-上月当月值)/上月当月值【%】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BF37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3D5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(本年累计-去年同月累计)/去年同月累计【%】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D85A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5C4ED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73C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7F9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（余额、规模）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912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D60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743A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本月末余额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2B41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(本月末余额-去年同月末余额)/去年同月末余额【%】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492C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(本月末余额-年初余额)/年初余额【%】</w:t>
            </w:r>
          </w:p>
        </w:tc>
      </w:tr>
      <w:tr w14:paraId="648E9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4241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AF65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（ROE、新增不良率）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2052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84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E9D2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3C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0440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6C020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1B14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9E8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（不良率、占比、覆盖率）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FE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5FA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62C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C2B7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519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本期比率-年初比率【百分点】</w:t>
            </w:r>
          </w:p>
        </w:tc>
      </w:tr>
    </w:tbl>
    <w:p w14:paraId="62867A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2.1.1.8　预算一致性规则</w:t>
      </w:r>
    </w:p>
    <w:p w14:paraId="5E5F3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业务在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通用报送平台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维护了全年预算的指标，则显示「全年预算」「预算达成率」值；否则两列一律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371D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预算达成率 = （截止本月末实际值 ÷ 全年预算）× 100%，单元格内含进度条：≥95% 绿色、85%~95% 黄色、&lt;85% 红色。</w:t>
      </w:r>
    </w:p>
    <w:p w14:paraId="5A9765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特别说明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：以下指标的预算达成率计算公式为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（截止本月末实际值 − 上一年度年末实际值）÷ 全年预算值 × 100%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（净增量口径）：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公司有效客户数、基石客户、产融协同客户数、代发客户数、零售高净值客户数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（以上 5 项均属 08-客群结构）。</w:t>
      </w:r>
    </w:p>
    <w:p w14:paraId="146791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2.1.1.9　单元格合并</w:t>
      </w:r>
    </w:p>
    <w:p w14:paraId="126F31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「指标分类」「指标分项」列，单元格按相同分类规则纵向合并，合并区间见各报表原型样式；</w:t>
      </w:r>
    </w:p>
    <w:p w14:paraId="2DA7E1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　分报表需求</w:t>
      </w:r>
    </w:p>
    <w:p w14:paraId="641AAD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2.1.2.1　01-资产负债简表　</w:t>
      </w:r>
      <w:r>
        <w:rPr>
          <w:rStyle w:val="253"/>
          <w:b/>
          <w:bCs/>
          <w:shd w:val="clear" w:fill="FFFFFF"/>
        </w:rPr>
        <w:t>20 项指标</w:t>
      </w:r>
    </w:p>
    <w:p w14:paraId="1DA41F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375C9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387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31F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01-资产负债简表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CF08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F5E6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资产负债简表</w:t>
            </w:r>
          </w:p>
        </w:tc>
      </w:tr>
      <w:tr w14:paraId="6F5B7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95E2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66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2107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25D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 行</w:t>
            </w:r>
          </w:p>
        </w:tc>
      </w:tr>
      <w:tr w14:paraId="2F4E6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EB0E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8071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FDFD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DBC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 列（含指标名称等结构列）</w:t>
            </w:r>
          </w:p>
        </w:tc>
      </w:tr>
      <w:tr w14:paraId="33AC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2B918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C389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EDD1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37B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EFF43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295042A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072EB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卡片1·总资产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80E1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卡片2·贷款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42EC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FE403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卡片4·所有者权益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128C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B354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3303A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42CE9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0CF88919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6"/>
        <w:gridCol w:w="2118"/>
        <w:gridCol w:w="816"/>
        <w:gridCol w:w="1144"/>
        <w:gridCol w:w="816"/>
        <w:gridCol w:w="816"/>
        <w:gridCol w:w="1148"/>
        <w:gridCol w:w="1472"/>
      </w:tblGrid>
      <w:tr w14:paraId="4658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BB76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5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476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D299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2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5AF6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51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91AE4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8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6B122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C600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7EA35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5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786BC0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C8A4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ED9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35EA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E283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E0CF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8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CDA79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720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C738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25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69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8E0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511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64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BB4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EE7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4F0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511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1B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9D9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CF4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AE0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0FA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12C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472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BC8D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D8F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A7D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普通贷款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6B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D19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6DB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8B7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F8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E8A8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6A05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336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F86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福费廷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8042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BE0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AF6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623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327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80E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5359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F5B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80A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票据贴现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5FC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1D9F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53C4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0D2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DD7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AF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EC0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B75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009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5AA7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926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5C2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924F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26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3A4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C5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6FD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EBF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88B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B20E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38A2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53A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CAE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66A5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281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CB3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2C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E909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35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419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915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5A5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B73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F00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C5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74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信托基金投资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6C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B11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509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D6BB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0EF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994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3368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4208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DA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6B2C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3CB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71B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435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92C5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333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FED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4F1F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AF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存拆放同业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105A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5CE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32B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C3F3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2ED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1A1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A3B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95D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3B9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买入返售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9C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32239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CF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3F95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F4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1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6B8D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65F5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8767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存放央行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49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6340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AB18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363E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3FF2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B6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A04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5B08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09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总负债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4D4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3331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95B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371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BAFF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CD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61D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D8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1B25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6B4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CE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F0A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FEB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AC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3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4AF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A26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C81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7E7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52B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C53A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AF7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8EE4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32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93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079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F77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同业存拆放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92F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00C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AF5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47F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218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4A7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3D92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0A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8A34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卖出回购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C05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C3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DBF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FECD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FB4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F993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D87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6C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695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向央行借款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8950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2B29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0E9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F3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E5E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3E5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DBB3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1121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E7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所有者权益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4CD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4A2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9A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767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98C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921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62CB61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C053225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0D6E2920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5" o:spt="75" alt="D:\work-2026\AI-test\华润-战略部数据应用-LAB\shots\bank01.png" type="#_x0000_t75" style="height:353.25pt;width:440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32BB3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2.1.2.2　02-损益表简表　</w:t>
      </w:r>
      <w:r>
        <w:rPr>
          <w:rStyle w:val="253"/>
          <w:b/>
          <w:bCs/>
          <w:shd w:val="clear" w:fill="FFFFFF"/>
        </w:rPr>
        <w:t>14 项指标</w:t>
      </w:r>
    </w:p>
    <w:p w14:paraId="5909F7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37B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D0AF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EFE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02-损益表简表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C9D7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6068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损益表简表</w:t>
            </w:r>
          </w:p>
        </w:tc>
      </w:tr>
      <w:tr w14:paraId="28212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10FEBD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F0E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5E1E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5D7A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12A25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CE5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22D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F36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30AE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5892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E554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577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77E0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AC3C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59A2C7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DE0468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CE7F9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卡片1·营业收入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85A4B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卡片2·拨备前利润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D0D35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卡片3·利润总额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5CB62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7A8DC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5A44B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2DD9F3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华润银行-02-损益表简表-2026-08.xlsx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F1918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C5865B9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9"/>
        <w:gridCol w:w="2023"/>
        <w:gridCol w:w="480"/>
        <w:gridCol w:w="1069"/>
        <w:gridCol w:w="626"/>
        <w:gridCol w:w="480"/>
        <w:gridCol w:w="482"/>
        <w:gridCol w:w="516"/>
        <w:gridCol w:w="518"/>
        <w:gridCol w:w="775"/>
        <w:gridCol w:w="923"/>
        <w:gridCol w:w="775"/>
      </w:tblGrid>
      <w:tr w14:paraId="46E67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0D0A6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E6150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7CD8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10FB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36C84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52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13B5A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56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AE55F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C1F1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42BF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9D8B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0B5A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5FAB96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5B7A4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D5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8CAD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20E12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9B48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04FFF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DCDCA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1CD0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22542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832C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3AB8F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9391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509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C31B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营业收入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6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DF37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C3EC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EBA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0DEF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016D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78EE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5F8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DAA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BEB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47D0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F9DE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825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46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E00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E382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E12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E4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D82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92D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76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DEE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173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38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B08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A42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0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1C2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BBA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366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6C90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D5F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D9D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A1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49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E40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39C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97B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2DE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其中：手续费及佣金净收入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E63A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E749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9E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035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669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DA1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15D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88B5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BCC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2C22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0AA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841C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B0F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其他非息收入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E40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FC5C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8D1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1B61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D6B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96E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6E5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5A2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EE8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D6D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1592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DC9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F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投资收益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863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3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BC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525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F9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B929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3D9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2B0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4D2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0D11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89C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47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E31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公允价值变动损益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7FC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591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546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F6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5C2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55F6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510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709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529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2F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B2E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1501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AF0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业务及管理费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525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B2E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87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8E7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C81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4A4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67CE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F82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1D4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E3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79B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CE7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4477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税金及附加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AC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76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97F0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CD8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AAE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2F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AFF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F838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295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70F1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987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5B7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451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拨备前利润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639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9F25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F9D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39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ECD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F1A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B55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9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7E8C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487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56E5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45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540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59D8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B4ED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25E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C29C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DAB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2E6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2D2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08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06A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D1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222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E85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320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利润总额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5A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3F7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666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9C0D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6A86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36B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B47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1AD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F13E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2375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1D26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243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1C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所得税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716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7BB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1902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457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C11C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750F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D1E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FCF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71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6F9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75A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3507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46DB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62C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169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B6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A752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7D6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91D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15C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9B1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2C9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B25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6C4212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2D4A0C49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3F94F5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6" o:spt="75" alt="D:\work-2026\AI-test\华润-战略部数据应用-LAB\shots\bank02.png" type="#_x0000_t75" style="height:291.75pt;width:440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ABFCF1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2.1.2.3　03-关键监测指标　</w:t>
      </w:r>
      <w:r>
        <w:rPr>
          <w:rStyle w:val="253"/>
          <w:b/>
          <w:bCs/>
          <w:shd w:val="clear" w:fill="FFFFFF"/>
        </w:rPr>
        <w:t>21 项指标</w:t>
      </w:r>
    </w:p>
    <w:p w14:paraId="06C7A9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6B499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C1531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AEE2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03-关键监测指标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AF0C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8BB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关键监测指标</w:t>
            </w:r>
          </w:p>
        </w:tc>
      </w:tr>
      <w:tr w14:paraId="46227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1DC55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07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季度（数据日期下拉为 Q1~Q4）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17A6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BC5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1CC05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EE3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79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8AF8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944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355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0945F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BB7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CE3C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FB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CF6F3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092332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91FE7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卡片1·流动性覆盖率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680ED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57B3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卡片3·资本充足率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DD08B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卡片4·房地产贷款集中度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D923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3D2BFE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5B04B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华润银行-03-关键监测指标-2026Q2.xlsx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5CF7E2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3AC795C6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p w14:paraId="03FF34B7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  <w:b/>
          <w:bCs/>
        </w:rPr>
        <w:t>监管要求取值说明</w:t>
      </w:r>
      <w:r>
        <w:rPr>
          <w:rFonts w:hint="eastAsia" w:ascii="宋体" w:hAnsi="宋体" w:eastAsia="宋体" w:cs="宋体"/>
        </w:rPr>
        <w:t>：对于监管要求类的指标，由业务提供监管数据，在数据库通过指标编号、指标名称对监管取值进行统一维护；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"/>
        <w:gridCol w:w="794"/>
        <w:gridCol w:w="1508"/>
        <w:gridCol w:w="448"/>
        <w:gridCol w:w="913"/>
        <w:gridCol w:w="844"/>
        <w:gridCol w:w="566"/>
        <w:gridCol w:w="448"/>
        <w:gridCol w:w="448"/>
        <w:gridCol w:w="567"/>
        <w:gridCol w:w="681"/>
        <w:gridCol w:w="797"/>
        <w:gridCol w:w="684"/>
      </w:tblGrid>
      <w:tr w14:paraId="6C53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FD5A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76D6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2029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3A7AC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监测指标信息</w:t>
            </w:r>
          </w:p>
        </w:tc>
        <w:tc>
          <w:tcPr>
            <w:tcW w:w="30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EDFD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0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90F4C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截止本季末</w:t>
            </w:r>
          </w:p>
        </w:tc>
        <w:tc>
          <w:tcPr>
            <w:tcW w:w="37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29C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3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1F12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7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61D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0F2F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B3BA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59C59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9B65C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528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856BD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24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监管要求</w:t>
            </w:r>
          </w:p>
        </w:tc>
        <w:tc>
          <w:tcPr>
            <w:tcW w:w="30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055E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C418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C02D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74A84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7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EEA1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D2000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50F05A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4AF7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0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DB64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A6A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EF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196D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0738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0A2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004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FA8C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265A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596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343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96AC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F84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F79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C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E032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净稳定资金比例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8CA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78BC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2F8F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5E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F6B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3BEF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C40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B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41F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00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F5B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FBA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D2A9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6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流动性缺口率（90天）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93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E9C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B29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≥-10%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889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D0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73A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1D7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6F4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9D2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6D5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0292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15B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5A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F3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核心负债比例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A8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2B3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44FA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≥60%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487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511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0DC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46C5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595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41CE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33F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F0D2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6FA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46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C1B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584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F66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E80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≥150%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F4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A89E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8CC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1C1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1E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56D6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0FBD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F81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1A4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D3B7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C684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贷款拨备率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831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A66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F09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≥2.5%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784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DF8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9F0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3AB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976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381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416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277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C64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7E5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盈利性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6079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4CD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880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3EF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8070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701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8E7B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98A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85D5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B58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799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BA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82F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74C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FAB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3246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D3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254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A489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6330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E7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12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BCA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A6D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98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0F66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F09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6DF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56C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94BE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2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D1A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58C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20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004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B700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683A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D6A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ABB3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F2F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5D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992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749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成本收入比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6CC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094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ED6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AE2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64D9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6FE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6B1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469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DDF2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D1C2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ADF9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B1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803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CE88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4E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F63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E2A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1D6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15E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A742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8237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754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9BAA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29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5DB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ACB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06EF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68B2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A5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58F5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036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F2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A6FB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5F2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3A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B316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16CE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285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9CF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0281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84ED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93B6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FE7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712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615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12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AEC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2A96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B5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FB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6C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B99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DE7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84EC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C9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69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0F8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2C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≥8.5%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691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8F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E34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454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BB6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CEA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3EF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10FF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C34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721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B8C7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6C2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C3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D7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894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19C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457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AE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F96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48B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1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858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89B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D34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5CA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FA7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EB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7FC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≥7.5%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B182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4E8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B3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5E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9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E9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4A0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2C7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72D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90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746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杠杆率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86AA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E949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85F7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≥4%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8F4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2385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7B0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E1F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F2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94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DE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0D6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CFFF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567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DEC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风险加权资产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B7D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B4F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DEA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29D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43EE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0812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FAA3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004F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4260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A35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7F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A28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FF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集中度指标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E5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房地产贷款集中度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5F7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7B3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6FA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CC5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482B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EC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EAA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E7E8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D81C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7BE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3CA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508C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AA0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AC4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非同业集团客户集中度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A14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C07A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AA2D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0CF9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F68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ED9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71E4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AF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09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9599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78AE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F7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F1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4F09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非同业单一客户集中度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851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29D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F98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002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5C2D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6F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2B3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0D5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96F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BF2C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7B5E2D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4DF206D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ED9130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7" o:spt="75" alt="D:\work-2026\AI-test\华润-战略部数据应用-LAB\shots\bank03.png" type="#_x0000_t75" style="height:371.25pt;width:440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9EE54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2.1.2.4　04-收入结构　</w:t>
      </w:r>
      <w:r>
        <w:rPr>
          <w:rStyle w:val="253"/>
          <w:b/>
          <w:bCs/>
          <w:shd w:val="clear" w:fill="FFFFFF"/>
        </w:rPr>
        <w:t>21 项指标</w:t>
      </w:r>
    </w:p>
    <w:p w14:paraId="709135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05A2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91589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7DB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04-收入结构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8D7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20F0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收入结构</w:t>
            </w:r>
          </w:p>
        </w:tc>
      </w:tr>
      <w:tr w14:paraId="11E40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2DF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8EE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7344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7F15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329F0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0231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61D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DD02B2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4FC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 列（含指标名称等结构列）</w:t>
            </w:r>
          </w:p>
        </w:tc>
      </w:tr>
      <w:tr w14:paraId="22B2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764A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F7F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9A033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2E2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A1F39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0A0121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4B238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卡片1·全行营收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370C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卡片2·公司条线考核营收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E27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1E22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卡片4·全行手续费及佣金净收入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E0CF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6C82B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19C363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华润银行-04-收入结构-2026-08.xlsx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08D39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07B4669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3"/>
        <w:gridCol w:w="608"/>
        <w:gridCol w:w="881"/>
        <w:gridCol w:w="1838"/>
        <w:gridCol w:w="423"/>
        <w:gridCol w:w="793"/>
        <w:gridCol w:w="517"/>
        <w:gridCol w:w="423"/>
        <w:gridCol w:w="427"/>
        <w:gridCol w:w="447"/>
        <w:gridCol w:w="449"/>
        <w:gridCol w:w="608"/>
        <w:gridCol w:w="700"/>
        <w:gridCol w:w="609"/>
      </w:tblGrid>
      <w:tr w14:paraId="57BA9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1D91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FE58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F6D37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00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A074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BAE0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B7FE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84829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46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7645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48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9329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8AABB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89F43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23CE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0A0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ABC3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B95D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5C349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3C51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7ADF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A604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567E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792A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D523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3B0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7203D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45E1A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A604E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568E0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37F10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B38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926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收入结构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97F1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条线营收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CC25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AC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4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5C2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7BC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942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568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5BCC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A87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C9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657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0B6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B4C5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96F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E5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079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8BC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B2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208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F30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753E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0C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506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FF2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871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8F07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D40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A3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3A8D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F21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518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A9D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6D3E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195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10B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411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73F9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ACD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0CA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66CE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42F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D2E6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7CA7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E8C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DC43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66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0BB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347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323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3B2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B69C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020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4F2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B1E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350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61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81E1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9D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E5D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766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370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D2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3B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80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858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8F84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42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01BE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B3FC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D5B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EA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EA8F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66D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1F7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8B8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BB8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12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33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E2B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80F8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721A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8917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076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E4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AEAF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369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BA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77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522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4ADD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82A5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66D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5C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0CB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04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9724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01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A91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E509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BDA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3F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447B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11F9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A88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DE6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38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3AAF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092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2570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5E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C2C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814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A38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5D6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FD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CD14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93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72D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C58A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956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司库营收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E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A9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BDE6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7EF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301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D6C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517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35B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73E7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1D0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6D4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A7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DC23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38E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条线利息净收入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641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A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00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8D1A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5C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2A6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846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05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8C5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D519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9BBD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135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CF8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316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5E4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8448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AA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3DE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CEA9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B25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F8D6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864E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9D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8E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F0F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377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DBD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79DE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30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A2BDA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4D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2945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2364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809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8E4F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0C83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20A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EBD4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D61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A5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A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CB0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4AC2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6EA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AD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条线非息净收入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42D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8CB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7C58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DB2C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6AA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9305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1C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807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97C0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F817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078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C15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429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39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2CE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72E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其中：全行手续费及佣金净收入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CA5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843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7CC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B680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88E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A05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78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238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D9AF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7941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687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93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E062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7B7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63B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7666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938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38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E34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AF0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6433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BAE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B12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E43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8A6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D158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642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0C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F4EC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A2B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462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F979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E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9239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17F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2CA9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292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4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831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2A8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C0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4A9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5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519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409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FF6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D70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E8D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4F8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5B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0BF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1A8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CF5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C61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FD5F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4BB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58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3F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9D3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D2E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517B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DAB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10F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D53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D7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46FE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54D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AD7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5B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43D4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F3F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5941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6F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615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2046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66E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734C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85F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6CA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FEC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D7F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9048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E4E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86E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6E7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CB3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8E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B72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F57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C3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1F7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3F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E89D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81F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5CC1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B05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90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72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FA0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27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15F1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18D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A84C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7C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E9A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1FE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F2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B07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1020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C841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01F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9D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BBC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60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63D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3C7864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68FCBF7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9126075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8" o:spt="75" alt="D:\work-2026\AI-test\华润-战略部数据应用-LAB\shots\bank04.png" type="#_x0000_t75" style="height:363.75pt;width:440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A00E4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2.1.2.5　05-成本结构　</w:t>
      </w:r>
      <w:r>
        <w:rPr>
          <w:rStyle w:val="253"/>
          <w:b/>
          <w:bCs/>
          <w:shd w:val="clear" w:fill="FFFFFF"/>
        </w:rPr>
        <w:t>18 项指标</w:t>
      </w:r>
    </w:p>
    <w:p w14:paraId="35244B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18A9D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F986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79C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05-成本结构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1244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EF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成本结构</w:t>
            </w:r>
          </w:p>
        </w:tc>
      </w:tr>
      <w:tr w14:paraId="1E277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ED7C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EB1F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A7273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54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18 行</w:t>
            </w:r>
          </w:p>
        </w:tc>
      </w:tr>
      <w:tr w14:paraId="67ECC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68A1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E5F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83B67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5424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 列（含指标名称等结构列）</w:t>
            </w:r>
          </w:p>
        </w:tc>
      </w:tr>
      <w:tr w14:paraId="5247A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987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7E0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EB39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ADC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32FAF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C022DE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738D6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8380D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卡片2·零售条线成本合计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5831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卡片3·公司条线-EVA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AF55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卡片4·零售条线-EVA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45A0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4936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05A5EF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华润银行-05-成本结构-2026-08.xlsx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4A750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54B45A1F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5"/>
        <w:gridCol w:w="947"/>
        <w:gridCol w:w="1760"/>
        <w:gridCol w:w="2501"/>
        <w:gridCol w:w="536"/>
        <w:gridCol w:w="742"/>
        <w:gridCol w:w="588"/>
        <w:gridCol w:w="590"/>
        <w:gridCol w:w="947"/>
      </w:tblGrid>
      <w:tr w14:paraId="1469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DBA7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9FDD1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153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36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94A2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BA5D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8766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643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683B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C7C9C7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3A27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E359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7F7B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023DA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071A0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44B82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DDCA8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D260C3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E424D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7064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E6B0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DF2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BE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成本结构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CEF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37E7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229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41D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376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0C58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F78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2B4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CD7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216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1A85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EC0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A2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63B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5D1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696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BF8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8A5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01F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35E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93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FC27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4F41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FA2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CB5F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535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968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A41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C60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4637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C49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443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16DC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A145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65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80B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4CEF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A51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054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9D5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5DE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23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B2F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BEF9A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DB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530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07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D0F8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610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C8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60E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1C0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A3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AD0D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84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DCC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BAC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746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D5BB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22F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BA2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87B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D90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F8C8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C6F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AF4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ADFD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DE9E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9BD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1B0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3B9D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3B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2E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61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05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C47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E74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158D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FA42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364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D6E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6F6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62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3B8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7A0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5E59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3AD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9A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DAA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7E5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6D56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8DB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7978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E2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28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EC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B60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B9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E507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080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46E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CFB9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F59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7BB9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A8D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B3E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1C27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E31B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79EF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7FF3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53D5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73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AF8F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FBD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E11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42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211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73E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89CC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92A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9E8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C176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CC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055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A38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48F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EEC8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23F2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951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B856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52A0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7A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E7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924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2BD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967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8BB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FF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A4D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1975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5FAB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4D9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E02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A001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37F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7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A948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F4A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BCA9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643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248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AC5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75B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0A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923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770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CD2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7E47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CC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94BA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FF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083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DC2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540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C8A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16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481F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4136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F94D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5517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3A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C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79D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33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A87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566E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9533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461BA8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EDA8B7E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7101A99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9" o:spt="75" alt="D:\work-2026\AI-test\华润-战略部数据应用-LAB\shots\bank05.png" type="#_x0000_t75" style="height:323.25pt;width:440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83732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2.1.2.6　06-存贷结构　</w:t>
      </w:r>
      <w:r>
        <w:rPr>
          <w:rStyle w:val="253"/>
          <w:b/>
          <w:bCs/>
          <w:shd w:val="clear" w:fill="FFFFFF"/>
        </w:rPr>
        <w:t>30 项指标</w:t>
      </w:r>
    </w:p>
    <w:p w14:paraId="4CADE7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360C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CA196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17E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06-存贷结构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4278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BDA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存贷结构</w:t>
            </w:r>
          </w:p>
        </w:tc>
      </w:tr>
      <w:tr w14:paraId="648B2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9991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306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98C6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BEB0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30 行</w:t>
            </w:r>
          </w:p>
        </w:tc>
      </w:tr>
      <w:tr w14:paraId="7263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5887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63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8E3C9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00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5FA75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FE3F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FA6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0D49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A98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649484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97DC2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96A84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卡片1·存款余额（全行）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81D5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卡片2·个人AUM月日均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2F47B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卡片3·存款年日均（全行）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9FDE3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卡片4·公司-贷款余额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EA4F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C2879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44F799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华润银行-06-存贷结构-2026-08.xlsx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5D1C8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9446B77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4"/>
        <w:gridCol w:w="612"/>
        <w:gridCol w:w="768"/>
        <w:gridCol w:w="2019"/>
        <w:gridCol w:w="425"/>
        <w:gridCol w:w="1077"/>
        <w:gridCol w:w="518"/>
        <w:gridCol w:w="425"/>
        <w:gridCol w:w="425"/>
        <w:gridCol w:w="524"/>
        <w:gridCol w:w="612"/>
        <w:gridCol w:w="705"/>
        <w:gridCol w:w="612"/>
      </w:tblGrid>
      <w:tr w14:paraId="6AD40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48BC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345E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1C5D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10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C033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DBD2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6417C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B2965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28D7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857D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0602B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C78EA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5DA8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9ABE7C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0EE3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CD0D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F4D2E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FF55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327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22536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DA0DD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A3001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2FF9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4735B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F5C0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C0A5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B67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2E7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FD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存贷结构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79C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25E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FCE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27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6704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9AF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AC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D997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B50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640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A9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E28A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9C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0B1E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C157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ED16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915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555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3A97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4E8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34F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7E6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5BD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2712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B0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2B7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975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A2E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DEE5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4C8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634D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3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252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DDB6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57A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D51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BF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C20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148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110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DE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E09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05A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98B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AEA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630F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F15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55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6BC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D1C4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957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2CC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EF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D56D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2F1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937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7DA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B8E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A5E0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290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84A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D0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D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55A0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39B3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13D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A0D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01D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41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CA1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285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AUM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48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871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81E0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34E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E4B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0951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F3DB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1EF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DF1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56F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13A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4EA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8F4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50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736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其中：个人非存AUM月日均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1F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3AC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ED21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E5F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E4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8832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789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2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B7E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D1C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C63C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AD6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59C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D25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AD2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0A6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F0C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729E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0EB5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D76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BD2B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F4D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2C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12D8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CB5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BC1C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CC5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0BD7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DA92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EE5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4826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2F6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AA3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240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F0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7407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496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A2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63B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771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D155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F09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51BF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42B5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7FD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85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A03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3E59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118B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17CB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B5B8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B0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ABE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128A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62A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低成本存款占比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8E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68B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CD83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DFA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F3D8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8ACC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918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E56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DD5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B08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978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A6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B93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2709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产融协同低成本存款年日均余额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E11A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12F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63F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3364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99C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FAA6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860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9CA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CBE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03F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23D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115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84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81F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DD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156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B55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DB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2026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D328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9C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4AC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2CB7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546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D7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806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7F1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2873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BF50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107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255E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DD29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BE9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0E1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1A2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9D1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C449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58A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1F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215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39F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4C6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59E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8BF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63B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56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F70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964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5C4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E35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687B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724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17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8FE4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ACC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94D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7C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F9DF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9AC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31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63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536A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016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A69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D7F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F63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DDB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89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C7D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C82E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3342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B1F6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25E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B1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F2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A36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C64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7C0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801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19D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0144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4B2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EEFE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958A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公司-房地产贷款余额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088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D06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D3F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2D45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0D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BE34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DE9B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77F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A69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A64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F3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69AD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B0B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09E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公司-贸易融资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F6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C355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3A62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174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97A9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6FBF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C36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D68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1E5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2BD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EB19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CE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20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3D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公司-中小企业贷款余额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DF02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3DF3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24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5B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222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E4F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E7B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726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0C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AEE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F49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9E99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69C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C74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公司-科技企业客群净增余额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B7F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000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FFC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523F4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D816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B91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53D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2311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7CB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FD0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3C2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3401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FB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70D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绿色金融余额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66C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6A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92AA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06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5D0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33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4430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D76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11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465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91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DBF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DF0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E25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产业金融余额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A4A5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7A7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FBB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4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8E65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59C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41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A5C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9154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2820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52D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A3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205BA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077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12E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5E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467B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D92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613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7A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CAC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5F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00C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44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8F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65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A58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09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个人抵押贷余额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BD1A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DC6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5BE9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821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11D0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FD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6319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7B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31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B8B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722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397F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66B9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E73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个人按揭贷余额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FA9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77A3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A87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6A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DE0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A5D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641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3E9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96F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616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AB5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8A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3949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18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个人信用贷余额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420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A319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6A7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1F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3D6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D14B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4D4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46C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AA2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EFE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292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B14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22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D3E1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其中：润薪贷、AUM贷、财富贷、车位贷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D0A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CEE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E27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4CC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E5FB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46F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5000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48B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45FA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8E4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BE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8B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321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B07B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个人平台贷余额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87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395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A1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0B6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41C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95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B866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5F9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7EB7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DC5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C1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C23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292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2551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贴现余额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2753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4B2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42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DBF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4AE5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F60E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8571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2DAB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AB1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E8C6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313E3C5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4F05B87D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0" o:spt="75" alt="D:\work-2026\AI-test\华润-战略部数据应用-LAB\shots\bank06.png" type="#_x0000_t75" style="height:475.5pt;width:44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99F4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2.1.2.7　07-利率结构　</w:t>
      </w:r>
      <w:r>
        <w:rPr>
          <w:rStyle w:val="253"/>
          <w:b/>
          <w:bCs/>
          <w:shd w:val="clear" w:fill="FFFFFF"/>
        </w:rPr>
        <w:t>15 项指标</w:t>
      </w:r>
    </w:p>
    <w:p w14:paraId="303C32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6FB9C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3DD3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7B0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07-利率结构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B218B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8B90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利率结构</w:t>
            </w:r>
          </w:p>
        </w:tc>
      </w:tr>
      <w:tr w14:paraId="50701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C041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409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BE2D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006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B203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36CC8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3CC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04B5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6CE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 列（含指标名称等结构列）</w:t>
            </w:r>
          </w:p>
        </w:tc>
      </w:tr>
      <w:tr w14:paraId="4BC99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D1F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388A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C057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70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789AB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6F0DECC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C335F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卡片1·生息资产收益率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0408D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卡片2·付息负债付息率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358B7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卡片3·存贷利差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BFE92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卡片4·净息差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4761C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76DB99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16C2C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华润银行-07-利率结构-2026-08.xlsx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7FBCAE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EED5452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3"/>
        <w:gridCol w:w="1017"/>
        <w:gridCol w:w="1018"/>
        <w:gridCol w:w="2253"/>
        <w:gridCol w:w="564"/>
        <w:gridCol w:w="791"/>
        <w:gridCol w:w="564"/>
        <w:gridCol w:w="564"/>
        <w:gridCol w:w="794"/>
        <w:gridCol w:w="1018"/>
      </w:tblGrid>
      <w:tr w14:paraId="0346C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D8DD4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9A756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B3EB5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6A05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31ACD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E424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0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88BB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654C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CC8D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7C03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4D90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B5A7C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5A90B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68B4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56E9A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091F9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6CA0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701D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B3DF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21E5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CFB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674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利率结构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22EF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06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6C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6B59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D4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858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4E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F01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DFAA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4A8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6D08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9A7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2AD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贷款对客收益率-对公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B55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0F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598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975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84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7DD3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E4BF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19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BB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8D3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3983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2CF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498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51A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480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F5C9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2CBA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E56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434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527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244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7B8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贷款对客收益率-贴现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B29D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656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7F6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1A81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D9D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BB8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810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E13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A18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F45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7F4F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2C3F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DDC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62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C24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88A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70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B85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755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40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0D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2E39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274E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3887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6EB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A87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D2F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FB5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A023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D3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163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47F9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F6E4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生息资产收益率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F89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0EB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007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A4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1DB0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7C25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3DC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43C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B1F2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62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负债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646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A6B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2F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5CB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9B9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792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035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F646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A77A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C46F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2953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99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存款对客付息率-公司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7B1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2AB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A204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F75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E7D2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54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842B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44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F5F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C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DBF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81B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267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7C0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458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1E7F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D06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ABC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6C5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A74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D73C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79D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E67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BE5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A84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6AF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91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BDE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DBA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25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BA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EFC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E75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3F8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850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C942C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920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395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BE1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56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F196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38B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5B3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74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付息负债付息率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C0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73D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7FA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38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96F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060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8E0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EEC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8A42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AC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CB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存贷利差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A4F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5324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586F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7C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201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67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7B9F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1CC1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2D0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32E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53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净息差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68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0D6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876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9DE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404A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2E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638C1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5DCAF8EA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20176F8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1" o:spt="75" alt="D:\work-2026\AI-test\华润-战略部数据应用-LAB\shots\bank07.png" type="#_x0000_t75" style="height:297.75pt;width:440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E8D8E2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2.1.2.8　08-客群结构　</w:t>
      </w:r>
      <w:r>
        <w:rPr>
          <w:rStyle w:val="253"/>
          <w:b/>
          <w:bCs/>
          <w:shd w:val="clear" w:fill="FFFFFF"/>
        </w:rPr>
        <w:t>14 项指标</w:t>
      </w:r>
    </w:p>
    <w:p w14:paraId="461F92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06ED8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0BB5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769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08-客群结构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BA79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764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客群结构</w:t>
            </w:r>
          </w:p>
        </w:tc>
      </w:tr>
      <w:tr w14:paraId="0EE51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3BFE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69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711B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2CD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438D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8DE1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01A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F64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2919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5CE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BA2A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08B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D454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22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2E49D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A1E674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3AA5B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卡片1·公司有效授信客户数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FC53B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卡片2·基石客户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0416A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3B42E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卡片4·代发客户数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652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4CC972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5EE6EC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华润银行-08-客群结构-2026-08.xlsx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B90A6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E622510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1"/>
        <w:gridCol w:w="661"/>
        <w:gridCol w:w="661"/>
        <w:gridCol w:w="1646"/>
        <w:gridCol w:w="441"/>
        <w:gridCol w:w="1209"/>
        <w:gridCol w:w="551"/>
        <w:gridCol w:w="441"/>
        <w:gridCol w:w="441"/>
        <w:gridCol w:w="555"/>
        <w:gridCol w:w="661"/>
        <w:gridCol w:w="774"/>
        <w:gridCol w:w="664"/>
      </w:tblGrid>
      <w:tr w14:paraId="188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CE7F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50C7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30A2B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89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A70E0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764C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60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7A670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0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ADF2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85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1D91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82F1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2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1B7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5E1E2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3E875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CFAB9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80FB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427CA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7DDDAF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61DF8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60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FBACC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DF9F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04DE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06478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E1E64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9B70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121E5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57208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A27C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8E5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32F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客群结构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B17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35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BBF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BAD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A6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E21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AB7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54D3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1EF7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97A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43C4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7B8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FD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5D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6F4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8B8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新增有效客户数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AB61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58A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78F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6E2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1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F5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A689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BB0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32C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EFB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B7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0DA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FFC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DA4D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28D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FD0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9551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099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447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DFB8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A1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B0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49E9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B48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FF0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E04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A4B1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DA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其中：大中有效授信客户数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21D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8C1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1F6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EAA0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4092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403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E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46C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E03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AC3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4DB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951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B5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12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中小有效授信客户数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2AD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D58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A29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30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C83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ECC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2EF2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DBED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1A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66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366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DB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60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E9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基石客户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E9F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F9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A24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AA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52E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B0E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F4F6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8419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F3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A58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DE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6721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0A2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78A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000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5B9E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C6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D6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78B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A0E1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6A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4FB8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2AA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7FF0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B8B0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4BA0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754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B87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C5A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9B6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2B7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DE1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A541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833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C61E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679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93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AD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A88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F5D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C40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EB7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零售中高端客户数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157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21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076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7D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CF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95C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64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3C45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7B4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683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E5F9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5D98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C6C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A93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3E9A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C4A5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34F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ED8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CF1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EB2F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34D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EA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B3DB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737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FF9D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20E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6D3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C6EB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零售高净值客户数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461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9A7B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BA69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577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D33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DEA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E86E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26A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4AC2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20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F2AA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60F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4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手机银行客户数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F4D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419C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11E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054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14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B9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263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E2D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001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A97A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3E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2C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EFF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E85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润E企用户数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66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34D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B5A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9BD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C53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F3B7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F5C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9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EE5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3DD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AAC8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7D0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983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85D7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现金管理客户数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E5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06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B0C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1E8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AFE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43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3EB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403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72D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52AD33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15E8B38D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8B0FA31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2" o:spt="75" alt="D:\work-2026\AI-test\华润-战略部数据应用-LAB\shots\bank08.png" type="#_x0000_t75" style="height:294pt;width:440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291C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2.1.2.9　09-风险情况　</w:t>
      </w:r>
      <w:r>
        <w:rPr>
          <w:rStyle w:val="253"/>
          <w:b/>
          <w:bCs/>
          <w:shd w:val="clear" w:fill="FFFFFF"/>
        </w:rPr>
        <w:t>15 项指标</w:t>
      </w:r>
    </w:p>
    <w:p w14:paraId="1BF781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242C3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920F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8D5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09-风险情况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9116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E138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风险情况</w:t>
            </w:r>
          </w:p>
        </w:tc>
      </w:tr>
      <w:tr w14:paraId="5E26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E6B3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F67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2CA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65EF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4351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94A6B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4116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90293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DEE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12CFF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ACED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050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2CD9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E2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5EE89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2AC5CE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381E07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卡片1·不良贷款率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6EB9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卡片2·个贷不良率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85CE7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7D7BC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卡片4·不良资产处置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9C338F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245D5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6B964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华润银行-09-风险情况-2026-08.xlsx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60E0B6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947B9B3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7"/>
        <w:gridCol w:w="774"/>
        <w:gridCol w:w="1655"/>
        <w:gridCol w:w="480"/>
        <w:gridCol w:w="1069"/>
        <w:gridCol w:w="626"/>
        <w:gridCol w:w="480"/>
        <w:gridCol w:w="480"/>
        <w:gridCol w:w="632"/>
        <w:gridCol w:w="775"/>
        <w:gridCol w:w="923"/>
        <w:gridCol w:w="775"/>
      </w:tblGrid>
      <w:tr w14:paraId="654C7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A685B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50E58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56A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C551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D9ED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46054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6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2F9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BDDA74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182CA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161B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D8EE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891B4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96761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21C1A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3D05D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DD284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4EEF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14587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D572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EB9A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09E1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984D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5CFD5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6EFF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868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45E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风险情况</w:t>
            </w: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C961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正常类贷款余额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15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1A5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3E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73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B36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AA3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0BB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026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57A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AEA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895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4B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B4F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关注类贷款余额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97C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62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9AE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EEC6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55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4A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5EF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4C7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6F6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8C2C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8AC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91C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224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次级类贷款余额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A5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C4B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FEB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B92B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5ED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693B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43D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80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7BD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519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7B1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B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241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可疑类贷款余额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7BC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07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75F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8312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66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29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314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98B4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394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855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3A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D64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0F0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损失类贷款余额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3F23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65A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2E0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C3D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A625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5CB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D250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8A74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B18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9CA2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C232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A804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E7E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0AE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214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8DBA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F557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A53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1B6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C5C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6B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52F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E8EE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E4E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F81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3A8B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B6EC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92B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322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10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29A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E64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D34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7CD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A15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C381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5DD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31C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3CD1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7F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250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0E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E6DD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9E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5F89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BA6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397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05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2041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C86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E1A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75E4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3C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8468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591E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AC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B52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9BA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6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E2C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51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4577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0F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FEFE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C38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不良贷款率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FF4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FF4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1305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4BDF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AC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328B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B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E8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17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7B5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911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B90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91EA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个贷不良率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D1D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A92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3AD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2B9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71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21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F1B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A3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7558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54E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31A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B39D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492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小额不良生成率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1ECC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43A7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F27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A20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DE4F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249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67A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D1E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4B8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7152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C66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DF1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C79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不良资产处置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9C9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1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C5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26D6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AE93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52C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C17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0EE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4B7C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5CB7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80D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034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18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7BA7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732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0CE7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1F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21A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A19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881A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AB1D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6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881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FB2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FCE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30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对公新增风险管控额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D5D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4F11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B70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310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FBF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69F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D84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D4A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ECEF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17EDA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91A461A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7F16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3" o:spt="75" alt="D:\work-2026\AI-test\华润-战略部数据应用-LAB\shots\bank09.png" type="#_x0000_t75" style="height:305.25pt;width:440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4470C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6" w:name="_Toc24151"/>
      <w:r>
        <w:rPr>
          <w:shd w:val="clear" w:fill="FFFFFF"/>
        </w:rPr>
        <w:t>2.2　报表台账管理需求说明</w:t>
      </w:r>
      <w:bookmarkEnd w:id="6"/>
    </w:p>
    <w:p w14:paraId="4AC34908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本节约定平台「报表台账管理」一级菜单下华润银行 9 张报表台账的页面结构、取数与展示规则。台账与固定报表同源取数，按年度横向展开各月末值，供业务逐年回溯核对。</w:t>
      </w:r>
    </w:p>
    <w:p w14:paraId="3985B6C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2.2.1　模块定位与入口</w:t>
      </w:r>
    </w:p>
    <w:p w14:paraId="1DBCE9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菜单层级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：「报表台账管理」为一级菜单，与「固定报表管理」同级；结构为 报表台账管理 → 公司分组（华润银行）→ 各报表台账，菜单名 = 报表名称 +「台账」（如「01-资产负债简表台账」）。</w:t>
      </w:r>
    </w:p>
    <w:p w14:paraId="2CDAD1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：台账菜单采用金色主题；一级菜单固定展开、不可收起（与固定报表管理一致）。</w:t>
      </w:r>
    </w:p>
    <w:p w14:paraId="14FBB4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2.2.2　台账页面结构</w:t>
      </w:r>
    </w:p>
    <w:p w14:paraId="7686D8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台账头部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：面板标题为「报表名称 · 年度台账」；右侧为更新频率块、📅 数据年度下拉、「📥 导出」按钮。</w:t>
      </w:r>
    </w:p>
    <w:p w14:paraId="6567C3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台账表格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单级表头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= 结构列（序号、指标分类、指标分项、指标名称、单位；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不显示指标属性标签列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）+ 各月「N月末」/各季「QN」单列；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不设同比列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B3832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结构列合并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：指标分类/指标分项沿用固定报表的 rowspan 纵向合并规则（仅保留结构列内的合并）。</w:t>
      </w:r>
    </w:p>
    <w:p w14:paraId="0C99DE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2.2.3　台账取数与展示规则</w:t>
      </w:r>
    </w:p>
    <w:p w14:paraId="6380E9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取数列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：取固定报表「截止本月末-实际」列（季度表为「截止本季末-实际」）作为各月末台账值；与固定报表同源取数（hideCols 隐藏列规则复用）。</w:t>
      </w:r>
    </w:p>
    <w:p w14:paraId="26DC5A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 2024 ～ 当前年度，默认选中当前年度。</w:t>
      </w:r>
    </w:p>
    <w:p w14:paraId="398096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：默认选中日历上月（有数据）；若当前为 1 月，则默认选中上一年 12 月（年份随之联动为上一年）。</w:t>
      </w:r>
    </w:p>
    <w:p w14:paraId="4D416B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：默认选中上一个已完结季度；若当前在 1~3 月，上一个已完结季度为上一年 Q4。</w:t>
      </w:r>
    </w:p>
    <w:p w14:paraId="6A4757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缺数口径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：台账口径下所有指标均应有月末值；仅个别月份未取到数（源值空、-、非数值）→ 统一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不用 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6BB6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2.2.4　台账查询与导出</w:t>
      </w:r>
    </w:p>
    <w:p w14:paraId="2B3B95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：仅年度下拉（无月份）；切换年度仅重渲染当前台账面板，toast 提示「已加载 YYYY 年 1—M 月台账 · 报表标题」。</w:t>
      </w:r>
    </w:p>
    <w:p w14:paraId="758E87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：台账头部「📥 导出」按钮导出当前年度台账表（演示占位，正式环境对接导出接口）。</w:t>
      </w:r>
    </w:p>
    <w:p w14:paraId="53F0FB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：导出表头与数据展示保持和系统页面一致（结构列 + 各月「N月末」/各季「QN」单列，不含同比列与指标属性标签列）；</w:t>
      </w:r>
    </w:p>
    <w:p w14:paraId="42CCA5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「华润银行-报表名称台账-数据年度年.xlsx」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；数据年度为当前所选台账年度（如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华润银行-01-资产负债简表台账-2026年.xlsx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7303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2.2.5　系统原型示意图</w:t>
      </w:r>
    </w:p>
    <w:p w14:paraId="2FE854E0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FAF24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01-资产负债简表台账</w:t>
      </w:r>
    </w:p>
    <w:p w14:paraId="265EEBD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4" o:spt="75" alt="D:\work-2026\AI-test\华润-战略部数据应用-LAB\shots\bank_led01.png" type="#_x0000_t75" style="height:291.75pt;width:440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93ED96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02-损益表简表台账</w:t>
      </w:r>
    </w:p>
    <w:p w14:paraId="3BCDC63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5" o:spt="75" alt="D:\work-2026\AI-test\华润-战略部数据应用-LAB\shots\bank_led02.png" type="#_x0000_t75" style="height:291.75pt;width:440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62021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03-关键监测指标台账</w:t>
      </w:r>
    </w:p>
    <w:p w14:paraId="2B3B2CE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6" o:spt="75" alt="D:\work-2026\AI-test\华润-战略部数据应用-LAB\shots\bank_led03.png" type="#_x0000_t75" style="height:291.75pt;width:440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A86EE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04-收入结构台账</w:t>
      </w:r>
    </w:p>
    <w:p w14:paraId="239C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7" o:spt="75" alt="D:\work-2026\AI-test\华润-战略部数据应用-LAB\shots\bank_led04.png" type="#_x0000_t75" style="height:291.75pt;width:440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72EB8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05-成本结构台账</w:t>
      </w:r>
    </w:p>
    <w:p w14:paraId="52412AB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8" o:spt="75" alt="D:\work-2026\AI-test\华润-战略部数据应用-LAB\shots\bank_led05.png" type="#_x0000_t75" style="height:291.75pt;width:440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0DB8C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06-存贷结构台账</w:t>
      </w:r>
    </w:p>
    <w:p w14:paraId="0573464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9" o:spt="75" alt="D:\work-2026\AI-test\华润-战略部数据应用-LAB\shots\bank_led06.png" type="#_x0000_t75" style="height:386.25pt;width:440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80620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07-利率结构台账</w:t>
      </w:r>
    </w:p>
    <w:p w14:paraId="5CE84BC7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0" o:spt="75" alt="D:\work-2026\AI-test\华润-战略部数据应用-LAB\shots\bank_led07.png" type="#_x0000_t75" style="height:291.75pt;width:440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A1472B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08-客群结构台账</w:t>
      </w:r>
    </w:p>
    <w:p w14:paraId="2E48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1" o:spt="75" alt="D:\work-2026\AI-test\华润-战略部数据应用-LAB\shots\bank_led08.png" type="#_x0000_t75" style="height:291.75pt;width:440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99ABD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09-风险情况台账</w:t>
      </w:r>
    </w:p>
    <w:p w14:paraId="29A74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2" o:spt="75" alt="D:\work-2026\AI-test\华润-战略部数据应用-LAB\shots\bank_led09.png" type="#_x0000_t75" style="height:291.75pt;width:440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FA24D7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7" w:name="_Toc19785"/>
      <w:r>
        <w:rPr>
          <w:shd w:val="clear" w:fill="FFFFFF"/>
        </w:rPr>
        <w:t>三、权限说明</w:t>
      </w:r>
      <w:bookmarkEnd w:id="7"/>
    </w:p>
    <w:p w14:paraId="20DCF6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：华润银行报表挂接于平台「数据应用 → 固定报表管理」菜单下，其对应报表台账挂接于一级菜单「报表台账管理」下（与固定报表管理同级，结构为 报表台账管理 → 公司分组 → 各报表台账）；两者查看权限均遵循平台统一的角色-菜单权限管理，用户获授「固定报表管理 → 华润银行」「报表台账管理 → 华润银行」菜单权限后方可进入查看。为全体战略部人员开放固定报表管理与报表台账管理模块权限。</w:t>
      </w:r>
    </w:p>
    <w:p w14:paraId="5E4FF78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数据范围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：报表数据为华润银行全量指标体系范围，暂不划分数据范围。</w:t>
      </w:r>
    </w:p>
    <w:p w14:paraId="67B48F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功能权限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：支持战略部全体人员筛选和导出功能。</w:t>
      </w:r>
    </w:p>
    <w:p w14:paraId="4C1F456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维护权限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：全年预算等报送类数据由业务人员在通用报送平台维护，本模块只读展示，不提供数据维护入口。</w:t>
      </w:r>
    </w:p>
    <w:p w14:paraId="2B097EC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8" w:name="_Toc32541"/>
      <w:r>
        <w:rPr>
          <w:shd w:val="clear" w:fill="FFFFFF"/>
        </w:rPr>
        <w:t>四、业务确认</w:t>
      </w:r>
      <w:bookmarkEnd w:id="8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0"/>
        <w:gridCol w:w="2536"/>
        <w:gridCol w:w="1971"/>
        <w:gridCol w:w="1686"/>
        <w:gridCol w:w="993"/>
      </w:tblGrid>
      <w:tr w14:paraId="12341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1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DBE8D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确认角色</w:t>
            </w:r>
          </w:p>
        </w:tc>
        <w:tc>
          <w:tcPr>
            <w:tcW w:w="13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BBD0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公司-部门</w:t>
            </w:r>
          </w:p>
        </w:tc>
        <w:tc>
          <w:tcPr>
            <w:tcW w:w="10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162D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确认人（签字）</w:t>
            </w:r>
          </w:p>
        </w:tc>
        <w:tc>
          <w:tcPr>
            <w:tcW w:w="9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949C6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日期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75ECED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确认意见</w:t>
            </w:r>
          </w:p>
        </w:tc>
      </w:tr>
      <w:tr w14:paraId="7291F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5D0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需求提出负责人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AE335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3E2D6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DB31F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DE685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B4BB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59F6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需求开发负责人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5C672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3FD3F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6366D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58A8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01C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D5B61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需求设计负责人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D8550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8F8F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8B8E3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0D65E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52542E84">
      <w:pPr>
        <w:pStyle w:val="13"/>
        <w:keepNext w:val="0"/>
        <w:keepLines w:val="0"/>
        <w:widowControl/>
        <w:suppressLineNumbers w:val="0"/>
        <w:spacing w:before="480" w:beforeAutospacing="0" w:after="0" w:afterAutospacing="0" w:line="23" w:lineRule="atLeast"/>
        <w:ind w:left="0" w:right="0"/>
        <w:jc w:val="center"/>
        <w:rPr>
          <w:color w:val="404040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800" w:footer="90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182A2">
    <w:pPr>
      <w:pStyle w:val="9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  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32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DAF5A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/>
        <w:sz w:val="18"/>
        <w:lang w:eastAsia="zh-CN"/>
      </w:rPr>
      <w:t>华润银行模块 · 数据应用需求文档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FEC4"/>
    <w:multiLevelType w:val="multilevel"/>
    <w:tmpl w:val="819EF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9863F3"/>
    <w:multiLevelType w:val="multilevel"/>
    <w:tmpl w:val="8E986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3C68AE"/>
    <w:multiLevelType w:val="multilevel"/>
    <w:tmpl w:val="A03C6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D44A7E"/>
    <w:multiLevelType w:val="multilevel"/>
    <w:tmpl w:val="A1D44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5772027"/>
    <w:multiLevelType w:val="multilevel"/>
    <w:tmpl w:val="A5772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410B8D"/>
    <w:multiLevelType w:val="multilevel"/>
    <w:tmpl w:val="AC410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C75F2B"/>
    <w:multiLevelType w:val="multilevel"/>
    <w:tmpl w:val="ACC75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D8D3275"/>
    <w:multiLevelType w:val="multilevel"/>
    <w:tmpl w:val="AD8D3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563C973"/>
    <w:multiLevelType w:val="multilevel"/>
    <w:tmpl w:val="B563C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38DF14"/>
    <w:multiLevelType w:val="multilevel"/>
    <w:tmpl w:val="DE38D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50B2B2C"/>
    <w:multiLevelType w:val="multilevel"/>
    <w:tmpl w:val="050B2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33B28F"/>
    <w:multiLevelType w:val="multilevel"/>
    <w:tmpl w:val="0C33B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8A311A0"/>
    <w:multiLevelType w:val="multilevel"/>
    <w:tmpl w:val="18A31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C33D8EC"/>
    <w:multiLevelType w:val="multilevel"/>
    <w:tmpl w:val="1C33D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97C675"/>
    <w:multiLevelType w:val="multilevel"/>
    <w:tmpl w:val="1C97C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186B5A6"/>
    <w:multiLevelType w:val="multilevel"/>
    <w:tmpl w:val="2186B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397D6A"/>
    <w:multiLevelType w:val="multilevel"/>
    <w:tmpl w:val="26397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00CF4F0"/>
    <w:multiLevelType w:val="multilevel"/>
    <w:tmpl w:val="300CF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1956EC6"/>
    <w:multiLevelType w:val="multilevel"/>
    <w:tmpl w:val="3195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CA20E1"/>
    <w:multiLevelType w:val="multilevel"/>
    <w:tmpl w:val="37CA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0E9C7B"/>
    <w:multiLevelType w:val="multilevel"/>
    <w:tmpl w:val="380E9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CB3329B"/>
    <w:multiLevelType w:val="multilevel"/>
    <w:tmpl w:val="3CB33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22470B"/>
    <w:multiLevelType w:val="multilevel"/>
    <w:tmpl w:val="46224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857B785"/>
    <w:multiLevelType w:val="multilevel"/>
    <w:tmpl w:val="4857B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B08EC40"/>
    <w:multiLevelType w:val="multilevel"/>
    <w:tmpl w:val="4B08E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C5285EC"/>
    <w:multiLevelType w:val="multilevel"/>
    <w:tmpl w:val="4C528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806FC8"/>
    <w:multiLevelType w:val="multilevel"/>
    <w:tmpl w:val="53806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6CD69EE"/>
    <w:multiLevelType w:val="multilevel"/>
    <w:tmpl w:val="56CD6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537307"/>
    <w:multiLevelType w:val="multilevel"/>
    <w:tmpl w:val="7A537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D8AA84D"/>
    <w:multiLevelType w:val="multilevel"/>
    <w:tmpl w:val="7D8AA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15"/>
  </w:num>
  <w:num w:numId="6">
    <w:abstractNumId w:val="7"/>
  </w:num>
  <w:num w:numId="7">
    <w:abstractNumId w:val="11"/>
  </w:num>
  <w:num w:numId="8">
    <w:abstractNumId w:val="28"/>
  </w:num>
  <w:num w:numId="9">
    <w:abstractNumId w:val="6"/>
  </w:num>
  <w:num w:numId="10">
    <w:abstractNumId w:val="17"/>
  </w:num>
  <w:num w:numId="11">
    <w:abstractNumId w:val="16"/>
  </w:num>
  <w:num w:numId="12">
    <w:abstractNumId w:val="24"/>
  </w:num>
  <w:num w:numId="13">
    <w:abstractNumId w:val="14"/>
  </w:num>
  <w:num w:numId="14">
    <w:abstractNumId w:val="18"/>
  </w:num>
  <w:num w:numId="15">
    <w:abstractNumId w:val="29"/>
  </w:num>
  <w:num w:numId="16">
    <w:abstractNumId w:val="19"/>
  </w:num>
  <w:num w:numId="17">
    <w:abstractNumId w:val="21"/>
  </w:num>
  <w:num w:numId="18">
    <w:abstractNumId w:val="4"/>
  </w:num>
  <w:num w:numId="19">
    <w:abstractNumId w:val="9"/>
  </w:num>
  <w:num w:numId="20">
    <w:abstractNumId w:val="27"/>
  </w:num>
  <w:num w:numId="21">
    <w:abstractNumId w:val="22"/>
  </w:num>
  <w:num w:numId="22">
    <w:abstractNumId w:val="13"/>
  </w:num>
  <w:num w:numId="23">
    <w:abstractNumId w:val="10"/>
  </w:num>
  <w:num w:numId="24">
    <w:abstractNumId w:val="25"/>
  </w:num>
  <w:num w:numId="25">
    <w:abstractNumId w:val="26"/>
  </w:num>
  <w:num w:numId="26">
    <w:abstractNumId w:val="12"/>
  </w:num>
  <w:num w:numId="27">
    <w:abstractNumId w:val="23"/>
  </w:num>
  <w:num w:numId="28">
    <w:abstractNumId w:val="8"/>
  </w:num>
  <w:num w:numId="29">
    <w:abstractNumId w:val="1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19457086"/>
    <w:rsid w:val="1A1C5A17"/>
    <w:rsid w:val="22614F44"/>
    <w:rsid w:val="22A87507"/>
    <w:rsid w:val="28124D06"/>
    <w:rsid w:val="30EC7498"/>
    <w:rsid w:val="35633C30"/>
    <w:rsid w:val="38184EF1"/>
    <w:rsid w:val="3F052CF0"/>
    <w:rsid w:val="47F308DC"/>
    <w:rsid w:val="50C44491"/>
    <w:rsid w:val="55C824FA"/>
    <w:rsid w:val="566D41FE"/>
    <w:rsid w:val="5CD57339"/>
    <w:rsid w:val="6DED0C6F"/>
    <w:rsid w:val="7D0C1B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EastAsia" w:hAnsiTheme="minorEastAsia" w:eastAsiaTheme="minorEastAsia" w:cstheme="minorEastAsia"/>
      <w:kern w:val="0"/>
      <w:sz w:val="21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黑体" w:hAnsi="黑体" w:eastAsia="黑体" w:cs="黑体"/>
      <w:b/>
      <w:bCs/>
      <w:color w:val="000000"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C8962E" w:sz="0" w:space="0"/>
        <w:bottom w:val="none" w:color="auto" w:sz="0" w:space="0"/>
        <w:right w:val="none" w:color="auto" w:sz="0" w:space="0"/>
      </w:pBdr>
      <w:spacing w:before="340" w:beforeAutospacing="0" w:after="200" w:afterAutospacing="0"/>
      <w:ind w:left="0" w:right="0"/>
      <w:jc w:val="left"/>
      <w:outlineLvl w:val="2"/>
    </w:pPr>
    <w:rPr>
      <w:rFonts w:hint="eastAsia" w:ascii="黑体" w:hAnsi="黑体" w:eastAsia="黑体" w:cs="黑体"/>
      <w:b/>
      <w:bCs/>
      <w:color w:val="000000"/>
      <w:spacing w:val="15"/>
      <w:kern w:val="0"/>
      <w:sz w:val="28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2A5298" w:sz="0" w:space="0"/>
        <w:bottom w:val="none" w:color="auto" w:sz="0" w:space="0"/>
        <w:right w:val="none" w:color="auto" w:sz="0" w:space="0"/>
      </w:pBdr>
      <w:spacing w:before="260" w:beforeAutospacing="0" w:after="160" w:afterAutospacing="0"/>
      <w:ind w:left="0" w:right="0"/>
      <w:jc w:val="left"/>
      <w:outlineLvl w:val="3"/>
    </w:pPr>
    <w:rPr>
      <w:rFonts w:hint="eastAsia" w:ascii="黑体" w:hAnsi="黑体" w:eastAsia="黑体" w:cs="黑体"/>
      <w:b/>
      <w:bCs/>
      <w:color w:val="000000"/>
      <w:kern w:val="0"/>
      <w:sz w:val="26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0" w:beforeAutospacing="0" w:after="120" w:afterAutospacing="0"/>
      <w:ind w:left="0" w:right="0"/>
      <w:jc w:val="left"/>
      <w:outlineLvl w:val="4"/>
    </w:pPr>
    <w:rPr>
      <w:rFonts w:hint="eastAsia" w:ascii="黑体" w:hAnsi="黑体" w:eastAsia="黑体" w:cs="黑体"/>
      <w:b/>
      <w:bCs/>
      <w:color w:val="000000"/>
      <w:kern w:val="0"/>
      <w:sz w:val="24"/>
      <w:szCs w:val="2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20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pBdr>
        <w:top w:val="single" w:color="EEF1F6" w:sz="6" w:space="13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styleId="1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80" w:beforeAutospacing="0" w:after="8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FollowedHyperlink"/>
    <w:basedOn w:val="15"/>
    <w:qFormat/>
    <w:uiPriority w:val="0"/>
    <w:rPr>
      <w:color w:val="2A5298"/>
      <w:u w:val="single"/>
    </w:rPr>
  </w:style>
  <w:style w:type="character" w:styleId="17">
    <w:name w:val="Hyperlink"/>
    <w:basedOn w:val="15"/>
    <w:qFormat/>
    <w:uiPriority w:val="0"/>
    <w:rPr>
      <w:color w:val="2A5298"/>
      <w:u w:val="single"/>
    </w:rPr>
  </w:style>
  <w:style w:type="character" w:styleId="18">
    <w:name w:val="HTML Code"/>
    <w:basedOn w:val="15"/>
    <w:qFormat/>
    <w:uiPriority w:val="0"/>
    <w:rPr>
      <w:rFonts w:ascii="Consolas" w:hAnsi="Consolas" w:eastAsia="Consolas" w:cs="Consolas"/>
      <w:color w:val="2A5298"/>
      <w:sz w:val="18"/>
      <w:szCs w:val="18"/>
      <w:bdr w:val="single" w:color="E0E5EE" w:sz="6" w:space="0"/>
      <w:shd w:val="clear" w:fill="F2F4F8"/>
    </w:rPr>
  </w:style>
  <w:style w:type="paragraph" w:customStyle="1" w:styleId="19">
    <w:name w:val="std-multi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std-form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1">
    <w:name w:val="gk-table-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">
    <w:name w:val="dev-box"/>
    <w:basedOn w:val="1"/>
    <w:qFormat/>
    <w:uiPriority w:val="0"/>
    <w:pPr>
      <w:pBdr>
        <w:top w:val="single" w:color="C6D8EE" w:sz="6" w:space="7"/>
        <w:left w:val="single" w:color="C6D8EE" w:sz="6" w:space="10"/>
        <w:bottom w:val="single" w:color="C6D8EE" w:sz="6" w:space="7"/>
        <w:right w:val="single" w:color="C6D8EE" w:sz="6" w:space="10"/>
      </w:pBdr>
      <w:shd w:val="clear" w:fill="EEF3FA"/>
      <w:spacing w:before="180" w:beforeAutospacing="0" w:after="180" w:afterAutospacing="0"/>
      <w:ind w:left="0" w:right="0"/>
      <w:jc w:val="left"/>
    </w:pPr>
    <w:rPr>
      <w:color w:val="274B7D"/>
      <w:kern w:val="0"/>
      <w:sz w:val="19"/>
      <w:szCs w:val="19"/>
      <w:lang w:val="en-US" w:eastAsia="zh-CN" w:bidi="ar"/>
    </w:rPr>
  </w:style>
  <w:style w:type="paragraph" w:customStyle="1" w:styleId="23">
    <w:name w:val="head-demo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">
    <w:name w:val="gq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">
    <w:name w:val="caliber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6">
    <w:name w:val="tip"/>
    <w:basedOn w:val="1"/>
    <w:qFormat/>
    <w:uiPriority w:val="0"/>
    <w:pPr>
      <w:spacing w:before="120" w:beforeAutospacing="0" w:after="120" w:afterAutospacing="0"/>
      <w:ind w:left="0" w:right="0"/>
      <w:jc w:val="left"/>
    </w:pPr>
    <w:rPr>
      <w:color w:val="000000"/>
      <w:kern w:val="0"/>
      <w:sz w:val="21"/>
      <w:szCs w:val="21"/>
      <w:lang w:val="en-US" w:eastAsia="zh-CN" w:bidi="ar"/>
    </w:rPr>
  </w:style>
  <w:style w:type="paragraph" w:customStyle="1" w:styleId="27">
    <w:name w:val="cnt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8">
    <w:name w:val="cnt2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9">
    <w:name w:val="cnt4"/>
    <w:basedOn w:val="1"/>
    <w:qFormat/>
    <w:uiPriority w:val="0"/>
    <w:pPr>
      <w:jc w:val="left"/>
    </w:pPr>
    <w:rPr>
      <w:color w:val="808080"/>
      <w:kern w:val="0"/>
      <w:sz w:val="20"/>
      <w:szCs w:val="20"/>
      <w:lang w:val="en-US" w:eastAsia="zh-CN" w:bidi="ar"/>
    </w:rPr>
  </w:style>
  <w:style w:type="paragraph" w:customStyle="1" w:styleId="30">
    <w:name w:val="cnt6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1">
    <w:name w:val="xmark"/>
    <w:basedOn w:val="1"/>
    <w:qFormat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2">
    <w:name w:val="query-freq-box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lang w:val="en-US" w:eastAsia="zh-CN" w:bidi="ar"/>
    </w:rPr>
  </w:style>
  <w:style w:type="paragraph" w:customStyle="1" w:styleId="33">
    <w:name w:val="std-tree-cb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4">
    <w:name w:val="std-tree-cb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5">
    <w:name w:val="ck-gauge-val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36">
    <w:name w:val="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5" w:beforeAutospacing="0" w:after="15" w:afterAutospacing="0"/>
      <w:ind w:left="30" w:right="30"/>
      <w:jc w:val="left"/>
    </w:pPr>
    <w:rPr>
      <w:color w:val="000000"/>
      <w:kern w:val="0"/>
      <w:sz w:val="17"/>
      <w:szCs w:val="17"/>
      <w:lang w:val="en-US" w:eastAsia="zh-CN" w:bidi="ar"/>
    </w:rPr>
  </w:style>
  <w:style w:type="paragraph" w:customStyle="1" w:styleId="37">
    <w:name w:val="cock-ba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38">
    <w:name w:val="hl-ex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2CC"/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9">
    <w:name w:val="header-sub"/>
    <w:basedOn w:val="1"/>
    <w:qFormat/>
    <w:uiPriority w:val="0"/>
    <w:pPr>
      <w:spacing w:before="15" w:before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40">
    <w:name w:val="tt-period"/>
    <w:basedOn w:val="1"/>
    <w:qFormat/>
    <w:uiPriority w:val="0"/>
    <w:pPr>
      <w:shd w:val="clear" w:fill="FDE3C8"/>
      <w:jc w:val="left"/>
    </w:pPr>
    <w:rPr>
      <w:color w:val="000000"/>
      <w:kern w:val="0"/>
      <w:lang w:val="en-US" w:eastAsia="zh-CN" w:bidi="ar"/>
    </w:rPr>
  </w:style>
  <w:style w:type="paragraph" w:customStyle="1" w:styleId="41">
    <w:name w:val="query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2">
    <w:name w:val="gk-2r-l&gt;span"/>
    <w:basedOn w:val="1"/>
    <w:qFormat/>
    <w:uiPriority w:val="0"/>
    <w:pPr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43">
    <w:name w:val="std-form-item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4">
    <w:name w:val="ck-trend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ph"/>
    <w:basedOn w:val="1"/>
    <w:qFormat/>
    <w:uiPriority w:val="0"/>
    <w:pPr>
      <w:jc w:val="left"/>
    </w:pPr>
    <w:rPr>
      <w:rFonts w:ascii="黑体" w:hAnsi="宋体" w:eastAsia="黑体" w:cs="黑体"/>
      <w:b/>
      <w:bCs/>
      <w:color w:val="404040"/>
      <w:spacing w:val="0"/>
      <w:kern w:val="0"/>
      <w:lang w:val="en-US" w:eastAsia="zh-CN" w:bidi="ar"/>
    </w:rPr>
  </w:style>
  <w:style w:type="paragraph" w:customStyle="1" w:styleId="46">
    <w:name w:val="gk-t12-cap"/>
    <w:basedOn w:val="1"/>
    <w:qFormat/>
    <w:uiPriority w:val="0"/>
    <w:pPr>
      <w:pBdr>
        <w:top w:val="dashed" w:color="E4EEFB" w:sz="6" w:space="5"/>
      </w:pBdr>
      <w:spacing w:after="60" w:afterAutospacing="0"/>
      <w:jc w:val="left"/>
    </w:pPr>
    <w:rPr>
      <w:color w:val="8AA2BD"/>
      <w:spacing w:val="15"/>
      <w:kern w:val="0"/>
      <w:sz w:val="15"/>
      <w:szCs w:val="15"/>
      <w:lang w:val="en-US" w:eastAsia="zh-CN" w:bidi="ar"/>
    </w:rPr>
  </w:style>
  <w:style w:type="paragraph" w:customStyle="1" w:styleId="47">
    <w:name w:val="dim-na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8"/>
      <w:kern w:val="0"/>
      <w:sz w:val="19"/>
      <w:szCs w:val="19"/>
      <w:lang w:val="en-US" w:eastAsia="zh-CN" w:bidi="ar"/>
    </w:rPr>
  </w:style>
  <w:style w:type="paragraph" w:customStyle="1" w:styleId="48">
    <w:name w:val="std-ms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caliber-tab-name"/>
    <w:basedOn w:val="1"/>
    <w:qFormat/>
    <w:uiPriority w:val="0"/>
    <w:pPr>
      <w:spacing w:line="21" w:lineRule="atLeast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0">
    <w:name w:val="group-row"/>
    <w:basedOn w:val="1"/>
    <w:qFormat/>
    <w:uiPriority w:val="0"/>
    <w:pPr>
      <w:pBdr>
        <w:left w:val="none" w:color="auto" w:sz="0" w:space="0"/>
      </w:pBdr>
      <w:jc w:val="left"/>
    </w:pPr>
    <w:rPr>
      <w:b/>
      <w:bCs/>
      <w:kern w:val="0"/>
      <w:lang w:val="en-US" w:eastAsia="zh-CN" w:bidi="ar"/>
    </w:rPr>
  </w:style>
  <w:style w:type="paragraph" w:customStyle="1" w:styleId="51">
    <w:name w:val="collapse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2">
    <w:name w:val="sub"/>
    <w:basedOn w:val="1"/>
    <w:qFormat/>
    <w:uiPriority w:val="0"/>
    <w:pPr>
      <w:jc w:val="left"/>
    </w:pPr>
    <w:rPr>
      <w:spacing w:val="15"/>
      <w:kern w:val="0"/>
      <w:sz w:val="21"/>
      <w:szCs w:val="21"/>
      <w:lang w:val="en-US" w:eastAsia="zh-CN" w:bidi="ar"/>
    </w:rPr>
  </w:style>
  <w:style w:type="paragraph" w:customStyle="1" w:styleId="53">
    <w:name w:val="gk-strip-sep"/>
    <w:basedOn w:val="1"/>
    <w:qFormat/>
    <w:uiPriority w:val="0"/>
    <w:pPr>
      <w:shd w:val="clear" w:fill="A8D4F5"/>
      <w:jc w:val="left"/>
    </w:pPr>
    <w:rPr>
      <w:kern w:val="0"/>
      <w:lang w:val="en-US" w:eastAsia="zh-CN" w:bidi="ar"/>
    </w:rPr>
  </w:style>
  <w:style w:type="paragraph" w:customStyle="1" w:styleId="54">
    <w:name w:val="std-group-title"/>
    <w:basedOn w:val="1"/>
    <w:qFormat/>
    <w:uiPriority w:val="0"/>
    <w:pPr>
      <w:pBdr>
        <w:left w:val="none" w:color="auto" w:sz="0" w:space="0"/>
      </w:pBdr>
      <w:spacing w:after="9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5">
    <w:name w:val="meta"/>
    <w:basedOn w:val="1"/>
    <w:qFormat/>
    <w:uiPriority w:val="0"/>
    <w:pPr>
      <w:spacing w:before="330" w:before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56">
    <w:name w:val="tt-point"/>
    <w:basedOn w:val="1"/>
    <w:qFormat/>
    <w:uiPriority w:val="0"/>
    <w:pPr>
      <w:shd w:val="clear" w:fill="DCE8F8"/>
      <w:jc w:val="left"/>
    </w:pPr>
    <w:rPr>
      <w:color w:val="000000"/>
      <w:kern w:val="0"/>
      <w:lang w:val="en-US" w:eastAsia="zh-CN" w:bidi="ar"/>
    </w:rPr>
  </w:style>
  <w:style w:type="paragraph" w:customStyle="1" w:styleId="57">
    <w:name w:val="confirm-box"/>
    <w:basedOn w:val="1"/>
    <w:qFormat/>
    <w:uiPriority w:val="0"/>
    <w:pPr>
      <w:spacing w:before="180" w:beforeAutospacing="0" w:after="180" w:afterAutospacing="0"/>
      <w:ind w:left="0" w:right="0"/>
      <w:jc w:val="left"/>
    </w:pPr>
    <w:rPr>
      <w:color w:val="000000"/>
      <w:kern w:val="0"/>
      <w:sz w:val="19"/>
      <w:szCs w:val="19"/>
      <w:lang w:val="en-US" w:eastAsia="zh-CN" w:bidi="ar"/>
    </w:rPr>
  </w:style>
  <w:style w:type="paragraph" w:customStyle="1" w:styleId="58">
    <w:name w:val="std-tree-lb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59">
    <w:name w:val="std-tree-lb2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60">
    <w:name w:val="gk-stat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query-inp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9"/>
      <w:szCs w:val="19"/>
      <w:lang w:val="en-US" w:eastAsia="zh-CN" w:bidi="ar"/>
    </w:rPr>
  </w:style>
  <w:style w:type="paragraph" w:customStyle="1" w:styleId="62">
    <w:name w:val="gk-wide-title"/>
    <w:basedOn w:val="1"/>
    <w:qFormat/>
    <w:uiPriority w:val="0"/>
    <w:pPr>
      <w:jc w:val="left"/>
    </w:pPr>
    <w:rPr>
      <w:b/>
      <w:bCs/>
      <w:color w:val="0D6EF0"/>
      <w:spacing w:val="15"/>
      <w:kern w:val="0"/>
      <w:sz w:val="19"/>
      <w:szCs w:val="19"/>
      <w:lang w:val="en-US" w:eastAsia="zh-CN" w:bidi="ar"/>
    </w:rPr>
  </w:style>
  <w:style w:type="paragraph" w:customStyle="1" w:styleId="63">
    <w:name w:val="page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4">
    <w:name w:val="query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65">
    <w:name w:val="query-toolba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66">
    <w:name w:val="fz-select-name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67">
    <w:name w:val="gk-wide-char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8">
    <w:name w:val="std-pager-total"/>
    <w:basedOn w:val="1"/>
    <w:qFormat/>
    <w:uiPriority w:val="0"/>
    <w:pPr>
      <w:jc w:val="left"/>
    </w:pPr>
    <w:rPr>
      <w:color w:val="4B5563"/>
      <w:kern w:val="0"/>
      <w:sz w:val="18"/>
      <w:szCs w:val="18"/>
      <w:lang w:val="en-US" w:eastAsia="zh-CN" w:bidi="ar"/>
    </w:rPr>
  </w:style>
  <w:style w:type="paragraph" w:customStyle="1" w:styleId="69">
    <w:name w:val="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0">
    <w:name w:val="brief"/>
    <w:basedOn w:val="1"/>
    <w:qFormat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71">
    <w:name w:val="fz-company-vie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2">
    <w:name w:val="none"/>
    <w:basedOn w:val="1"/>
    <w:qFormat/>
    <w:uiPriority w:val="0"/>
    <w:pP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customStyle="1" w:styleId="73">
    <w:name w:val="stick-4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4">
    <w:name w:val="gk-wide-head"/>
    <w:basedOn w:val="1"/>
    <w:qFormat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75">
    <w:name w:val="std-tabs"/>
    <w:basedOn w:val="1"/>
    <w:qFormat/>
    <w:uiPriority w:val="0"/>
    <w:pPr>
      <w:spacing w:before="3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6">
    <w:name w:val="std-se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77">
    <w:name w:val="header-na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ym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79">
    <w:name w:val="fz-select-op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9"/>
      <w:szCs w:val="19"/>
      <w:lang w:val="en-US" w:eastAsia="zh-CN" w:bidi="ar"/>
    </w:rPr>
  </w:style>
  <w:style w:type="paragraph" w:customStyle="1" w:styleId="80">
    <w:name w:val="std-form-label"/>
    <w:basedOn w:val="1"/>
    <w:qFormat/>
    <w:uiPriority w:val="0"/>
    <w:pPr>
      <w:jc w:val="right"/>
    </w:pPr>
    <w:rPr>
      <w:color w:val="4B5563"/>
      <w:kern w:val="0"/>
      <w:sz w:val="19"/>
      <w:szCs w:val="19"/>
      <w:lang w:val="en-US" w:eastAsia="zh-CN" w:bidi="ar"/>
    </w:rPr>
  </w:style>
  <w:style w:type="paragraph" w:customStyle="1" w:styleId="81">
    <w:name w:val="header-logo"/>
    <w:basedOn w:val="1"/>
    <w:qFormat/>
    <w:uiPriority w:val="0"/>
    <w:pPr>
      <w:jc w:val="left"/>
    </w:pPr>
    <w:rPr>
      <w:b/>
      <w:bCs/>
      <w:color w:val="FFFFFF"/>
      <w:kern w:val="0"/>
      <w:sz w:val="27"/>
      <w:szCs w:val="27"/>
      <w:lang w:val="en-US" w:eastAsia="zh-CN" w:bidi="ar"/>
    </w:rPr>
  </w:style>
  <w:style w:type="paragraph" w:customStyle="1" w:styleId="82">
    <w:name w:val="cock-companie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83">
    <w:name w:val="heade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4">
    <w:name w:val="top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spacing w:val="45"/>
      <w:kern w:val="0"/>
      <w:sz w:val="22"/>
      <w:szCs w:val="22"/>
      <w:lang w:val="en-US" w:eastAsia="zh-CN" w:bidi="ar"/>
    </w:rPr>
  </w:style>
  <w:style w:type="paragraph" w:customStyle="1" w:styleId="85">
    <w:name w:val="std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stick-3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std-drawer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8">
    <w:name w:val="gq-fi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9">
    <w:name w:val="query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0">
    <w:name w:val="std-tree-exp"/>
    <w:basedOn w:val="1"/>
    <w:qFormat/>
    <w:uiPriority w:val="0"/>
    <w:pPr>
      <w:jc w:val="center"/>
    </w:pPr>
    <w:rPr>
      <w:color w:val="8A94A3"/>
      <w:kern w:val="0"/>
      <w:sz w:val="15"/>
      <w:szCs w:val="15"/>
      <w:lang w:val="en-US" w:eastAsia="zh-CN" w:bidi="ar"/>
    </w:rPr>
  </w:style>
  <w:style w:type="paragraph" w:customStyle="1" w:styleId="91">
    <w:name w:val="std-ctrl"/>
    <w:basedOn w:val="1"/>
    <w:qFormat/>
    <w:uiPriority w:val="0"/>
    <w:pPr>
      <w:pBdr>
        <w:top w:val="single" w:color="D7DBE0" w:sz="6" w:space="0"/>
        <w:left w:val="single" w:color="D7DBE0" w:sz="6" w:space="9"/>
        <w:bottom w:val="single" w:color="D7DBE0" w:sz="6" w:space="0"/>
        <w:right w:val="single" w:color="D7DBE0" w:sz="6" w:space="9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92">
    <w:name w:val="std-form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3">
    <w:name w:val="btn-std"/>
    <w:basedOn w:val="1"/>
    <w:qFormat/>
    <w:uiPriority w:val="0"/>
    <w:pPr>
      <w:jc w:val="left"/>
    </w:pPr>
    <w:rPr>
      <w:spacing w:val="45"/>
      <w:kern w:val="0"/>
      <w:sz w:val="21"/>
      <w:szCs w:val="21"/>
      <w:lang w:val="en-US" w:eastAsia="zh-CN" w:bidi="ar"/>
    </w:rPr>
  </w:style>
  <w:style w:type="paragraph" w:customStyle="1" w:styleId="94">
    <w:name w:val="std-pager"/>
    <w:basedOn w:val="1"/>
    <w:qFormat/>
    <w:uiPriority w:val="0"/>
    <w:pPr>
      <w:spacing w:before="210" w:beforeAutospacing="0"/>
      <w:jc w:val="left"/>
    </w:pPr>
    <w:rPr>
      <w:kern w:val="0"/>
      <w:lang w:val="en-US" w:eastAsia="zh-CN" w:bidi="ar"/>
    </w:rPr>
  </w:style>
  <w:style w:type="paragraph" w:customStyle="1" w:styleId="95">
    <w:name w:val="std-ms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std-ms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97">
    <w:name w:val="std-tree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std-tree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std-drawer-title"/>
    <w:basedOn w:val="1"/>
    <w:qFormat/>
    <w:uiPriority w:val="0"/>
    <w:pPr>
      <w:pBdr>
        <w:right w:val="none" w:color="auto" w:sz="0" w:space="0"/>
      </w:pBdr>
      <w:spacing w:line="23" w:lineRule="atLeast"/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01">
    <w:name w:val="std-tree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2">
    <w:name w:val="std-tree-chev"/>
    <w:basedOn w:val="1"/>
    <w:qFormat/>
    <w:uiPriority w:val="0"/>
    <w:pPr>
      <w:jc w:val="left"/>
    </w:pPr>
    <w:rPr>
      <w:color w:val="8A94A3"/>
      <w:kern w:val="0"/>
      <w:sz w:val="16"/>
      <w:szCs w:val="16"/>
      <w:lang w:val="en-US" w:eastAsia="zh-CN" w:bidi="ar"/>
    </w:rPr>
  </w:style>
  <w:style w:type="paragraph" w:customStyle="1" w:styleId="103">
    <w:name w:val="lb"/>
    <w:basedOn w:val="1"/>
    <w:qFormat/>
    <w:uiPriority w:val="0"/>
    <w:pPr>
      <w:ind w:right="75"/>
      <w:jc w:val="left"/>
      <w:textAlignment w:val="auto"/>
    </w:pPr>
    <w:rPr>
      <w:kern w:val="0"/>
      <w:lang w:val="en-US" w:eastAsia="zh-CN" w:bidi="ar"/>
    </w:rPr>
  </w:style>
  <w:style w:type="paragraph" w:customStyle="1" w:styleId="104">
    <w:name w:val="std-tree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105">
    <w:name w:val="topnav-sub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8"/>
      <w:szCs w:val="18"/>
      <w:lang w:val="en-US" w:eastAsia="zh-CN" w:bidi="ar"/>
    </w:rPr>
  </w:style>
  <w:style w:type="paragraph" w:customStyle="1" w:styleId="106">
    <w:name w:val="std-name"/>
    <w:basedOn w:val="1"/>
    <w:qFormat/>
    <w:uiPriority w:val="0"/>
    <w:pPr>
      <w:spacing w:line="23" w:lineRule="atLeast"/>
      <w:jc w:val="left"/>
    </w:pPr>
    <w:rPr>
      <w:b/>
      <w:bCs/>
      <w:kern w:val="0"/>
      <w:lang w:val="en-US" w:eastAsia="zh-CN" w:bidi="ar"/>
    </w:rPr>
  </w:style>
  <w:style w:type="paragraph" w:customStyle="1" w:styleId="107">
    <w:name w:val="std-tree-ro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8">
    <w:name w:val="sheet-panel"/>
    <w:basedOn w:val="1"/>
    <w:qFormat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9">
    <w:name w:val="std-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10">
    <w:name w:val="btn-std-search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11">
    <w:name w:val="btn-std-reset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2">
    <w:name w:val="query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tag-none"/>
    <w:basedOn w:val="1"/>
    <w:qFormat/>
    <w:uiPriority w:val="0"/>
    <w:pPr>
      <w:jc w:val="left"/>
    </w:pPr>
    <w:rPr>
      <w:color w:val="C0C4CC"/>
      <w:kern w:val="0"/>
      <w:lang w:val="en-US" w:eastAsia="zh-CN" w:bidi="ar"/>
    </w:rPr>
  </w:style>
  <w:style w:type="paragraph" w:customStyle="1" w:styleId="114">
    <w:name w:val="link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5">
    <w:name w:val="std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5A6B82"/>
      <w:kern w:val="0"/>
      <w:sz w:val="19"/>
      <w:szCs w:val="19"/>
      <w:lang w:val="en-US" w:eastAsia="zh-CN" w:bidi="ar"/>
    </w:rPr>
  </w:style>
  <w:style w:type="paragraph" w:customStyle="1" w:styleId="116">
    <w:name w:val="progress-bar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 w:line="21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18">
    <w:name w:val="nav-item2"/>
    <w:basedOn w:val="1"/>
    <w:qFormat/>
    <w:uiPriority w:val="0"/>
    <w:pPr>
      <w:pBdr>
        <w:lef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9">
    <w:name w:val="query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20">
    <w:name w:val="std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1">
    <w:name w:val="std-st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2">
    <w:name w:val="cont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stick-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4">
    <w:name w:val="std-mai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std-pager-bt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kpi-value"/>
    <w:basedOn w:val="1"/>
    <w:qFormat/>
    <w:uiPriority w:val="0"/>
    <w:pPr>
      <w:jc w:val="left"/>
    </w:pPr>
    <w:rPr>
      <w:kern w:val="0"/>
      <w:sz w:val="33"/>
      <w:szCs w:val="33"/>
      <w:lang w:val="en-US" w:eastAsia="zh-CN" w:bidi="ar"/>
    </w:rPr>
  </w:style>
  <w:style w:type="paragraph" w:customStyle="1" w:styleId="127">
    <w:name w:val="kpi-value2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28">
    <w:name w:val="ck-gauge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129">
    <w:name w:val="gk-2r-r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30">
    <w:name w:val="gk-wide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1">
    <w:name w:val="stick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2">
    <w:name w:val="stick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3">
    <w:name w:val="stick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4">
    <w:name w:val="gk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5">
    <w:name w:val="stick-r2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6">
    <w:name w:val="stick-r2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7">
    <w:name w:val="stick-r2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8">
    <w:name w:val="stick-r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9">
    <w:name w:val="stick-r3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40">
    <w:name w:val="stick-r5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1">
    <w:name w:val="layo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2">
    <w:name w:val="gk-wide-lef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3">
    <w:name w:val="stick-1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gq-fil-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progress-bar"/>
    <w:basedOn w:val="1"/>
    <w:qFormat/>
    <w:uiPriority w:val="0"/>
    <w:pPr>
      <w:shd w:val="clear" w:fill="E5E7EB"/>
      <w:jc w:val="left"/>
    </w:pPr>
    <w:rPr>
      <w:kern w:val="0"/>
      <w:lang w:val="en-US" w:eastAsia="zh-CN" w:bidi="ar"/>
    </w:rPr>
  </w:style>
  <w:style w:type="paragraph" w:customStyle="1" w:styleId="146">
    <w:name w:val="kpi-trend-row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7">
    <w:name w:val="std-status"/>
    <w:basedOn w:val="1"/>
    <w:qFormat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8">
    <w:name w:val="std-page-siz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9">
    <w:name w:val="std-page-dot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0">
    <w:name w:val="std-overla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1">
    <w:name w:val="std-drawer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2">
    <w:name w:val="std-drawer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153">
    <w:name w:val="cock-desc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4">
    <w:name w:val="cock-desc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6F8BAB"/>
      <w:kern w:val="0"/>
      <w:sz w:val="18"/>
      <w:szCs w:val="18"/>
      <w:lang w:val="en-US" w:eastAsia="zh-CN" w:bidi="ar"/>
    </w:rPr>
  </w:style>
  <w:style w:type="paragraph" w:customStyle="1" w:styleId="155">
    <w:name w:val="std-drawer-code"/>
    <w:basedOn w:val="1"/>
    <w:qFormat/>
    <w:uiPriority w:val="0"/>
    <w:pPr>
      <w:spacing w:before="90" w:before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56">
    <w:name w:val="std-drawer-tags"/>
    <w:basedOn w:val="1"/>
    <w:qFormat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57">
    <w:name w:val="std-drawer-clo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158">
    <w:name w:val="std-group"/>
    <w:basedOn w:val="1"/>
    <w:qFormat/>
    <w:uiPriority w:val="0"/>
    <w:pPr>
      <w:spacing w:after="270" w:afterAutospacing="0"/>
      <w:jc w:val="left"/>
    </w:pPr>
    <w:rPr>
      <w:kern w:val="0"/>
      <w:lang w:val="en-US" w:eastAsia="zh-CN" w:bidi="ar"/>
    </w:rPr>
  </w:style>
  <w:style w:type="paragraph" w:customStyle="1" w:styleId="159">
    <w:name w:val="std-tab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60">
    <w:name w:val="gk-mcal-tab"/>
    <w:basedOn w:val="1"/>
    <w:qFormat/>
    <w:uiPriority w:val="0"/>
    <w:pPr>
      <w:pBdr>
        <w:top w:val="single" w:color="CFE0F4" w:sz="6" w:space="2"/>
        <w:left w:val="single" w:color="CFE0F4" w:sz="6" w:space="8"/>
        <w:bottom w:val="single" w:color="CFE0F4" w:sz="6" w:space="2"/>
        <w:right w:val="single" w:color="CFE0F4" w:sz="6" w:space="8"/>
      </w:pBdr>
      <w:shd w:val="clear" w:fill="F4F9FF"/>
      <w:jc w:val="left"/>
    </w:pPr>
    <w:rPr>
      <w:b/>
      <w:bCs/>
      <w:color w:val="51708F"/>
      <w:spacing w:val="8"/>
      <w:kern w:val="0"/>
      <w:sz w:val="15"/>
      <w:szCs w:val="15"/>
      <w:lang w:val="en-US" w:eastAsia="zh-CN" w:bidi="ar"/>
    </w:rPr>
  </w:style>
  <w:style w:type="paragraph" w:customStyle="1" w:styleId="161">
    <w:name w:val="assess-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CE8F8"/>
      <w:spacing w:line="24" w:lineRule="atLeast"/>
      <w:jc w:val="left"/>
    </w:pPr>
    <w:rPr>
      <w:b/>
      <w:bCs/>
      <w:color w:val="2A5298"/>
      <w:kern w:val="0"/>
      <w:sz w:val="16"/>
      <w:szCs w:val="16"/>
      <w:lang w:val="en-US" w:eastAsia="zh-CN" w:bidi="ar"/>
    </w:rPr>
  </w:style>
  <w:style w:type="paragraph" w:customStyle="1" w:styleId="162">
    <w:name w:val="gk-numblock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3">
    <w:name w:val="gk-numblock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4">
    <w:name w:val="gk-numblock4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5">
    <w:name w:val="gk-gaug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66">
    <w:name w:val="kpi-unit"/>
    <w:basedOn w:val="1"/>
    <w:qFormat/>
    <w:uiPriority w:val="0"/>
    <w:pPr>
      <w:ind w:left="150"/>
      <w:jc w:val="left"/>
    </w:pPr>
    <w:rPr>
      <w:spacing w:val="8"/>
      <w:kern w:val="0"/>
      <w:sz w:val="18"/>
      <w:szCs w:val="18"/>
      <w:lang w:val="en-US" w:eastAsia="zh-CN" w:bidi="ar"/>
    </w:rPr>
  </w:style>
  <w:style w:type="paragraph" w:customStyle="1" w:styleId="167">
    <w:name w:val="side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8">
    <w:name w:val="nav-par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/>
      <w:jc w:val="left"/>
    </w:pPr>
    <w:rPr>
      <w:b/>
      <w:bCs/>
      <w:spacing w:val="15"/>
      <w:kern w:val="0"/>
      <w:sz w:val="20"/>
      <w:szCs w:val="20"/>
      <w:lang w:val="en-US" w:eastAsia="zh-CN" w:bidi="ar"/>
    </w:rPr>
  </w:style>
  <w:style w:type="paragraph" w:customStyle="1" w:styleId="169">
    <w:name w:val="ck-gauge-sub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70">
    <w:name w:val="nav-children"/>
    <w:basedOn w:val="1"/>
    <w:qFormat/>
    <w:uiPriority w:val="0"/>
    <w:pPr>
      <w:pBdr>
        <w:lef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171">
    <w:name w:val="nav-group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" w:afterAutospacing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72">
    <w:name w:val="nav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B0B6BF"/>
      <w:kern w:val="0"/>
      <w:sz w:val="16"/>
      <w:szCs w:val="16"/>
      <w:lang w:val="en-US" w:eastAsia="zh-CN" w:bidi="ar"/>
    </w:rPr>
  </w:style>
  <w:style w:type="paragraph" w:customStyle="1" w:styleId="173">
    <w:name w:val="fz-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dim-dash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30"/>
      <w:kern w:val="0"/>
      <w:lang w:val="en-US" w:eastAsia="zh-CN" w:bidi="ar"/>
    </w:rPr>
  </w:style>
  <w:style w:type="paragraph" w:customStyle="1" w:styleId="175">
    <w:name w:val="tsub-ico"/>
    <w:basedOn w:val="1"/>
    <w:qFormat/>
    <w:uiPriority w:val="0"/>
    <w:pPr>
      <w:pBdr>
        <w:top w:val="single" w:color="D8EAFB" w:sz="6" w:space="0"/>
        <w:left w:val="single" w:color="D8EAFB" w:sz="6" w:space="0"/>
        <w:bottom w:val="single" w:color="D8EAFB" w:sz="6" w:space="0"/>
        <w:right w:val="single" w:color="D8EAFB" w:sz="6" w:space="0"/>
      </w:pBdr>
      <w:shd w:val="clear" w:fill="EAF4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76">
    <w:name w:val="kpi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7">
    <w:name w:val="progress-text"/>
    <w:basedOn w:val="1"/>
    <w:qFormat/>
    <w:uiPriority w:val="0"/>
    <w:pPr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78">
    <w:name w:val="panel-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79">
    <w:name w:val="panel-title"/>
    <w:basedOn w:val="1"/>
    <w:qFormat/>
    <w:uiPriority w:val="0"/>
    <w:pPr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80">
    <w:name w:val="panel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query-freq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2">
    <w:name w:val="table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83">
    <w:name w:val="query-freq-valu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3FA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4">
    <w:name w:val="gk-stat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85">
    <w:name w:val="y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6">
    <w:name w:val="ym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7">
    <w:name w:val="cock-compan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8">
    <w:name w:val="cock-company-head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89">
    <w:name w:val="cock-group-title"/>
    <w:basedOn w:val="1"/>
    <w:qFormat/>
    <w:uiPriority w:val="0"/>
    <w:pPr>
      <w:pBdr>
        <w:left w:val="none" w:color="auto" w:sz="0" w:space="0"/>
      </w:pBdr>
      <w:spacing w:before="150" w:beforeAutospacing="0" w:after="90" w:afterAutospacing="0"/>
      <w:ind w:left="0" w:right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0">
    <w:name w:val="cock-char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1">
    <w:name w:val="chart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2">
    <w:name w:val="ck-bar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93">
    <w:name w:val="chart-title"/>
    <w:basedOn w:val="1"/>
    <w:qFormat/>
    <w:uiPriority w:val="0"/>
    <w:pP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94">
    <w:name w:val="ck-leg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5">
    <w:name w:val="gk-strip"/>
    <w:basedOn w:val="1"/>
    <w:qFormat/>
    <w:uiPriority w:val="0"/>
    <w:pPr>
      <w:pBdr>
        <w:top w:val="single" w:color="D8EAFB" w:sz="6" w:space="6"/>
        <w:left w:val="single" w:color="D8EAFB" w:sz="6" w:space="9"/>
        <w:bottom w:val="single" w:color="D8EAFB" w:sz="6" w:space="6"/>
        <w:right w:val="single" w:color="D8EAFB" w:sz="6" w:space="9"/>
      </w:pBdr>
      <w:shd w:val="clear" w:fill="F4FAFF"/>
      <w:spacing w:before="210" w:beforeAutospacing="0" w:after="180" w:afterAutospacing="0"/>
      <w:ind w:left="0" w:right="0"/>
      <w:jc w:val="left"/>
    </w:pPr>
    <w:rPr>
      <w:b/>
      <w:bCs/>
      <w:spacing w:val="30"/>
      <w:kern w:val="0"/>
      <w:sz w:val="22"/>
      <w:szCs w:val="22"/>
      <w:lang w:val="en-US" w:eastAsia="zh-CN" w:bidi="ar"/>
    </w:rPr>
  </w:style>
  <w:style w:type="paragraph" w:customStyle="1" w:styleId="196">
    <w:name w:val="cat-filte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97">
    <w:name w:val="ck-vbar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8">
    <w:name w:val="ck-vba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9">
    <w:name w:val="ck-vbar-col"/>
    <w:basedOn w:val="1"/>
    <w:qFormat/>
    <w:uiPriority w:val="0"/>
    <w:pPr>
      <w:spacing w:before="0" w:beforeAutospacing="1"/>
      <w:jc w:val="left"/>
    </w:pPr>
    <w:rPr>
      <w:kern w:val="0"/>
      <w:lang w:val="en-US" w:eastAsia="zh-CN" w:bidi="ar"/>
    </w:rPr>
  </w:style>
  <w:style w:type="paragraph" w:customStyle="1" w:styleId="200">
    <w:name w:val="caliber-tab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1">
    <w:name w:val="ck-axis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02">
    <w:name w:val="toas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203">
    <w:name w:val="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04">
    <w:name w:val="gq-meta"/>
    <w:basedOn w:val="1"/>
    <w:qFormat/>
    <w:uiPriority w:val="0"/>
    <w:pPr>
      <w:jc w:val="left"/>
    </w:pPr>
    <w:rPr>
      <w:color w:val="EAF6FF"/>
      <w:kern w:val="0"/>
      <w:sz w:val="18"/>
      <w:szCs w:val="18"/>
      <w:lang w:val="en-US" w:eastAsia="zh-CN" w:bidi="ar"/>
    </w:rPr>
  </w:style>
  <w:style w:type="paragraph" w:customStyle="1" w:styleId="205">
    <w:name w:val="btn-primary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206">
    <w:name w:val="caliber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07">
    <w:name w:val="kpi-row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8">
    <w:name w:val="gq-bar-bg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9">
    <w:name w:val="gk-2r-r"/>
    <w:basedOn w:val="1"/>
    <w:qFormat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210">
    <w:name w:val="gk-sta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1">
    <w:name w:val="gq-fil-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gq-ba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gq-sel"/>
    <w:basedOn w:val="1"/>
    <w:qFormat/>
    <w:uiPriority w:val="0"/>
    <w:pPr>
      <w:pBdr>
        <w:top w:val="single" w:color="CFE0F4" w:sz="6" w:space="4"/>
        <w:left w:val="single" w:color="CFE0F4" w:sz="6" w:space="7"/>
        <w:bottom w:val="single" w:color="CFE0F4" w:sz="6" w:space="4"/>
        <w:right w:val="single" w:color="CFE0F4" w:sz="6" w:space="7"/>
      </w:pBdr>
      <w:shd w:val="clear" w:fill="FFFFFF"/>
      <w:jc w:val="left"/>
    </w:pPr>
    <w:rPr>
      <w:b/>
      <w:bCs/>
      <w:color w:val="33475F"/>
      <w:kern w:val="0"/>
      <w:sz w:val="19"/>
      <w:szCs w:val="19"/>
      <w:lang w:val="en-US" w:eastAsia="zh-CN" w:bidi="ar"/>
    </w:rPr>
  </w:style>
  <w:style w:type="paragraph" w:customStyle="1" w:styleId="214">
    <w:name w:val="gk-calswitch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5">
    <w:name w:val="gq-sel-ico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216">
    <w:name w:val="gq-sel-chev"/>
    <w:basedOn w:val="1"/>
    <w:qFormat/>
    <w:uiPriority w:val="0"/>
    <w:pPr>
      <w:jc w:val="left"/>
    </w:pPr>
    <w:rPr>
      <w:color w:val="7D94AD"/>
      <w:kern w:val="0"/>
      <w:sz w:val="16"/>
      <w:szCs w:val="16"/>
      <w:lang w:val="en-US" w:eastAsia="zh-CN" w:bidi="ar"/>
    </w:rPr>
  </w:style>
  <w:style w:type="paragraph" w:customStyle="1" w:styleId="217">
    <w:name w:val="topnav-su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218">
    <w:name w:val="gq-titl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9">
    <w:name w:val="fz-select-list"/>
    <w:basedOn w:val="1"/>
    <w:qFormat/>
    <w:uiPriority w:val="0"/>
    <w:pPr>
      <w:pBdr>
        <w:top w:val="single" w:color="CFE0F4" w:sz="6" w:space="3"/>
        <w:left w:val="single" w:color="CFE0F4" w:sz="6" w:space="3"/>
        <w:bottom w:val="single" w:color="CFE0F4" w:sz="6" w:space="3"/>
        <w:right w:val="single" w:color="CFE0F4" w:sz="6" w:space="3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220">
    <w:name w:val="topnav-dro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21">
    <w:name w:val="topnav-sub-cap"/>
    <w:basedOn w:val="1"/>
    <w:qFormat/>
    <w:uiPriority w:val="0"/>
    <w:pPr>
      <w:pBdr>
        <w:top w:val="none" w:color="auto" w:sz="0" w:space="0"/>
        <w:left w:val="none" w:color="auto" w:sz="0" w:space="0"/>
        <w:bottom w:val="dashed" w:color="DCEAFA" w:sz="6" w:space="5"/>
        <w:right w:val="none" w:color="auto" w:sz="0" w:space="0"/>
      </w:pBdr>
      <w:spacing w:after="90" w:afterAutospacing="0"/>
      <w:jc w:val="left"/>
    </w:pPr>
    <w:rPr>
      <w:color w:val="8AA2BD"/>
      <w:spacing w:val="30"/>
      <w:kern w:val="0"/>
      <w:sz w:val="15"/>
      <w:szCs w:val="15"/>
      <w:lang w:val="en-US" w:eastAsia="zh-CN" w:bidi="ar"/>
    </w:rPr>
  </w:style>
  <w:style w:type="paragraph" w:customStyle="1" w:styleId="222">
    <w:name w:val="topnav-chev"/>
    <w:basedOn w:val="1"/>
    <w:qFormat/>
    <w:uiPriority w:val="0"/>
    <w:pPr>
      <w:ind w:left="75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223">
    <w:name w:val="gk-row"/>
    <w:basedOn w:val="1"/>
    <w:qFormat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224">
    <w:name w:val="gk-info"/>
    <w:basedOn w:val="1"/>
    <w:qFormat/>
    <w:uiPriority w:val="0"/>
    <w:pPr>
      <w:ind w:left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25">
    <w:name w:val="gk-tip"/>
    <w:basedOn w:val="1"/>
    <w:qFormat/>
    <w:uiPriority w:val="0"/>
    <w:pPr>
      <w:spacing w:line="15" w:lineRule="atLeast"/>
      <w:ind w:left="90"/>
      <w:jc w:val="left"/>
      <w:textAlignment w:val="auto"/>
    </w:pPr>
    <w:rPr>
      <w:b/>
      <w:bCs/>
      <w:color w:val="FFFFFF"/>
      <w:kern w:val="0"/>
      <w:sz w:val="15"/>
      <w:szCs w:val="15"/>
      <w:lang w:val="en-US" w:eastAsia="zh-CN" w:bidi="ar"/>
    </w:rPr>
  </w:style>
  <w:style w:type="paragraph" w:customStyle="1" w:styleId="226">
    <w:name w:val="gk-tip-flo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vanish/>
      <w:color w:val="FFFFFF"/>
      <w:spacing w:val="8"/>
      <w:kern w:val="0"/>
      <w:sz w:val="18"/>
      <w:szCs w:val="18"/>
      <w:lang w:val="en-US" w:eastAsia="zh-CN" w:bidi="ar"/>
    </w:rPr>
  </w:style>
  <w:style w:type="paragraph" w:customStyle="1" w:styleId="227">
    <w:name w:val="gk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8">
    <w:name w:val="gk-np-cap"/>
    <w:basedOn w:val="1"/>
    <w:qFormat/>
    <w:uiPriority w:val="0"/>
    <w:pPr>
      <w:spacing w:after="75" w:afterAutospacing="0"/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229">
    <w:name w:val="ll"/>
    <w:basedOn w:val="1"/>
    <w:qFormat/>
    <w:uiPriority w:val="0"/>
    <w:pPr>
      <w:pBdr>
        <w:top w:val="single" w:color="2F9BF2" w:sz="12" w:space="0"/>
        <w:left w:val="single" w:color="2F9BF2" w:sz="12" w:space="0"/>
        <w:bottom w:val="single" w:color="2F9BF2" w:sz="12" w:space="0"/>
        <w:right w:val="single" w:color="2F9BF2" w:sz="12" w:space="0"/>
      </w:pBdr>
      <w:shd w:val="clear" w:fill="FFFFFF"/>
      <w:ind w:right="75"/>
      <w:jc w:val="left"/>
    </w:pPr>
    <w:rPr>
      <w:kern w:val="0"/>
      <w:lang w:val="en-US" w:eastAsia="zh-CN" w:bidi="ar"/>
    </w:rPr>
  </w:style>
  <w:style w:type="paragraph" w:customStyle="1" w:styleId="230">
    <w:name w:val="gk-trend1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1">
    <w:name w:val="gk-wide-card"/>
    <w:basedOn w:val="1"/>
    <w:qFormat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232">
    <w:name w:val="gk-wide-card2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33">
    <w:name w:val="kpi-trend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4">
    <w:name w:val="kpi-delta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35">
    <w:name w:val="kpi-delta2"/>
    <w:basedOn w:val="1"/>
    <w:qFormat/>
    <w:uiPriority w:val="0"/>
    <w:pPr>
      <w:jc w:val="left"/>
    </w:pPr>
    <w:rPr>
      <w:rFonts w:hint="default" w:ascii="Courier New" w:hAnsi="Courier New" w:cs="Courier New"/>
      <w:b/>
      <w:bCs/>
      <w:kern w:val="0"/>
      <w:lang w:val="en-US" w:eastAsia="zh-CN" w:bidi="ar"/>
    </w:rPr>
  </w:style>
  <w:style w:type="paragraph" w:customStyle="1" w:styleId="236">
    <w:name w:val="gk-t12-hove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gk-2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8">
    <w:name w:val="gk-2r-lin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9">
    <w:name w:val="gk-2r-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gk-caltab"/>
    <w:basedOn w:val="1"/>
    <w:qFormat/>
    <w:uiPriority w:val="0"/>
    <w:pPr>
      <w:pBdr>
        <w:top w:val="single" w:color="B9D7F5" w:sz="6" w:space="4"/>
        <w:left w:val="single" w:color="B9D7F5" w:sz="6" w:space="10"/>
        <w:bottom w:val="single" w:color="B9D7F5" w:sz="6" w:space="4"/>
        <w:right w:val="single" w:color="B9D7F5" w:sz="6" w:space="10"/>
      </w:pBdr>
      <w:shd w:val="clear" w:fill="FFFFFF"/>
      <w:jc w:val="left"/>
    </w:pPr>
    <w:rPr>
      <w:b/>
      <w:bCs/>
      <w:color w:val="33475F"/>
      <w:spacing w:val="8"/>
      <w:kern w:val="0"/>
      <w:sz w:val="18"/>
      <w:szCs w:val="18"/>
      <w:lang w:val="en-US" w:eastAsia="zh-CN" w:bidi="ar"/>
    </w:rPr>
  </w:style>
  <w:style w:type="paragraph" w:customStyle="1" w:styleId="241">
    <w:name w:val="gk-mcal-bod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2">
    <w:name w:val="gk-mcal-tab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kpi-label"/>
    <w:basedOn w:val="1"/>
    <w:qFormat/>
    <w:uiPriority w:val="0"/>
    <w:pPr>
      <w:spacing w:after="9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44">
    <w:name w:val="kpi-trends"/>
    <w:basedOn w:val="1"/>
    <w:qFormat/>
    <w:uiPriority w:val="0"/>
    <w:pPr>
      <w:spacing w:before="120" w:beforeAutospacing="0"/>
      <w:jc w:val="left"/>
    </w:pPr>
    <w:rPr>
      <w:kern w:val="0"/>
      <w:lang w:val="en-US" w:eastAsia="zh-CN" w:bidi="ar"/>
    </w:rPr>
  </w:style>
  <w:style w:type="paragraph" w:customStyle="1" w:styleId="245">
    <w:name w:val="collapse-arrow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46">
    <w:name w:val="collapse-hint"/>
    <w:basedOn w:val="1"/>
    <w:qFormat/>
    <w:uiPriority w:val="0"/>
    <w:pPr>
      <w:ind w:left="0"/>
      <w:jc w:val="left"/>
    </w:pPr>
    <w:rPr>
      <w:color w:val="9CA3AF"/>
      <w:kern w:val="0"/>
      <w:sz w:val="16"/>
      <w:szCs w:val="16"/>
      <w:lang w:val="en-US" w:eastAsia="zh-CN" w:bidi="ar"/>
    </w:rPr>
  </w:style>
  <w:style w:type="paragraph" w:customStyle="1" w:styleId="247">
    <w:name w:val="delta-arrow"/>
    <w:basedOn w:val="1"/>
    <w:qFormat/>
    <w:uiPriority w:val="0"/>
    <w:pPr>
      <w:spacing w:line="15" w:lineRule="atLeast"/>
      <w:ind w:right="45"/>
      <w:jc w:val="left"/>
    </w:pPr>
    <w:rPr>
      <w:rFonts w:ascii="Arial" w:hAnsi="Arial" w:cs="Arial"/>
      <w:kern w:val="0"/>
      <w:sz w:val="13"/>
      <w:szCs w:val="13"/>
      <w:lang w:val="en-US" w:eastAsia="zh-CN" w:bidi="ar"/>
    </w:rPr>
  </w:style>
  <w:style w:type="paragraph" w:customStyle="1" w:styleId="248">
    <w:name w:val="cat-filter-label"/>
    <w:basedOn w:val="1"/>
    <w:qFormat/>
    <w:uiPriority w:val="0"/>
    <w:pPr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49">
    <w:name w:val="progress-fil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50">
    <w:name w:val="caliber-tab-sub"/>
    <w:basedOn w:val="1"/>
    <w:qFormat/>
    <w:uiPriority w:val="0"/>
    <w:pPr>
      <w:spacing w:line="21" w:lineRule="atLeast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51">
    <w:name w:val="cat-filter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b/>
      <w:bCs/>
      <w:kern w:val="0"/>
      <w:sz w:val="19"/>
      <w:szCs w:val="19"/>
      <w:lang w:val="en-US" w:eastAsia="zh-CN" w:bidi="ar"/>
    </w:rPr>
  </w:style>
  <w:style w:type="character" w:customStyle="1" w:styleId="252">
    <w:name w:val="ph1"/>
    <w:basedOn w:val="15"/>
    <w:qFormat/>
    <w:uiPriority w:val="0"/>
    <w:rPr>
      <w:rFonts w:ascii="黑体" w:hAnsi="宋体" w:eastAsia="黑体" w:cs="黑体"/>
      <w:b/>
      <w:bCs/>
      <w:color w:val="404040"/>
      <w:spacing w:val="0"/>
    </w:rPr>
  </w:style>
  <w:style w:type="character" w:customStyle="1" w:styleId="253">
    <w:name w:val="cnt7"/>
    <w:basedOn w:val="15"/>
    <w:qFormat/>
    <w:uiPriority w:val="0"/>
    <w:rPr>
      <w:b/>
      <w:bCs/>
      <w:color w:val="C8962E"/>
      <w:sz w:val="18"/>
      <w:szCs w:val="18"/>
    </w:rPr>
  </w:style>
  <w:style w:type="character" w:customStyle="1" w:styleId="254">
    <w:name w:val="hl-exp1"/>
    <w:basedOn w:val="15"/>
    <w:qFormat/>
    <w:uiPriority w:val="0"/>
    <w:rPr>
      <w:b/>
      <w:bCs/>
      <w:color w:val="000000"/>
      <w:shd w:val="clear" w:fill="FFF2CC"/>
    </w:rPr>
  </w:style>
  <w:style w:type="character" w:customStyle="1" w:styleId="255">
    <w:name w:val="xmark1"/>
    <w:basedOn w:val="15"/>
    <w:qFormat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12457</Words>
  <Characters>13570</Characters>
  <TotalTime>0</TotalTime>
  <ScaleCrop>false</ScaleCrop>
  <LinksUpToDate>false</LinksUpToDate>
  <CharactersWithSpaces>14011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2026-10-09T03:41:00Z</dcterms:created>
  <dc:creator>ex-liaox003</dc:creator>
  <cp:lastModifiedBy>ex-liaox003</cp:lastModifiedBy>
  <dcterms:modified xsi:type="dcterms:W3CDTF">2026-10-09T05:46:58Z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4F43E2BE4EF3420ABCE32AA4395D3242_13</vt:lpwstr>
  </property>
</Properties>
</file>