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071638E">
      <w:pPr>
        <w:pStyle w:val="13"/>
        <w:keepNext w:val="0"/>
        <w:keepLines w:val="0"/>
        <w:widowControl/>
        <w:suppressLineNumbers w:val="0"/>
        <w:spacing w:before="340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sz w:val="52"/>
          <w:szCs w:val="52"/>
        </w:rPr>
      </w:pP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t>华润银行模块</w:t>
      </w:r>
    </w:p>
    <w:p w14:paraId="1B095BF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color w:val="000000"/>
          <w:sz w:val="32"/>
          <w:szCs w:val="32"/>
          <w:shd w:val="clear" w:fill="FFFFFF"/>
        </w:rPr>
      </w:pP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t>数据应用需求文档</w:t>
      </w: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(固定报表管理、报表台账管理)</w:t>
      </w:r>
    </w:p>
    <w:p w14:paraId="3D5E8201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</w:pPr>
    </w:p>
    <w:p w14:paraId="0E142878">
      <w:pPr>
        <w:spacing w:before="200" w:after="16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修订历史记录</w:t>
      </w:r>
    </w:p>
    <w:tbl>
      <w:tblPr>
        <w:tblStyle w:val="14"/>
        <w:tblW w:w="49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3"/>
        <w:gridCol w:w="1803"/>
        <w:gridCol w:w="1803"/>
        <w:gridCol w:w="2452"/>
        <w:gridCol w:w="1153"/>
      </w:tblGrid>
      <w:tr w14:paraId="15A0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7A9BBCA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版本号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62369DE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修订日期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18D993D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修订人</w:t>
            </w:r>
          </w:p>
        </w:tc>
        <w:tc>
          <w:tcPr>
            <w:tcW w:w="24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2096FB7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修订内容</w:t>
            </w:r>
          </w:p>
        </w:tc>
        <w:tc>
          <w:tcPr>
            <w:tcW w:w="11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7938229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审核人</w:t>
            </w:r>
          </w:p>
        </w:tc>
      </w:tr>
      <w:tr w14:paraId="5E6A2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9DDFBD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V1.0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C34463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2026-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-0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BAC4124">
            <w:pPr>
              <w:spacing w:before="40" w:after="4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廖霞</w:t>
            </w:r>
          </w:p>
        </w:tc>
        <w:tc>
          <w:tcPr>
            <w:tcW w:w="24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5FCFCA8">
            <w:pPr>
              <w:spacing w:before="40" w:after="4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初始版本</w:t>
            </w:r>
          </w:p>
        </w:tc>
        <w:tc>
          <w:tcPr>
            <w:tcW w:w="11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B13FC7D">
            <w:pPr>
              <w:spacing w:before="40" w:after="40"/>
              <w:jc w:val="center"/>
            </w:pPr>
          </w:p>
        </w:tc>
      </w:tr>
    </w:tbl>
    <w:p w14:paraId="27BC1955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8F5AA1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B9460A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E13129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7D1D1F0D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F0CD466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361A318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B3666C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6F2AB90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7DD6CAE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19C5704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193F325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D809E4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AF3495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B87B81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399A28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96E9B92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AB104C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6112637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A63EAC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759044F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 </w:t>
      </w:r>
    </w:p>
    <w:p w14:paraId="045DB05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eastAsiaTheme="minorEastAsia"/>
          <w:lang w:eastAsia="zh-CN"/>
        </w:rPr>
      </w:pPr>
    </w:p>
    <w:p w14:paraId="72310016">
      <w:pPr>
        <w:pStyle w:val="13"/>
        <w:keepNext w:val="0"/>
        <w:keepLines w:val="0"/>
        <w:pageBreakBefore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 </w:t>
      </w:r>
    </w:p>
    <w:p w14:paraId="4E79A81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0" w:name="_Toc27620"/>
      <w:r>
        <w:rPr>
          <w:shd w:val="clear" w:fill="FFFFFF"/>
        </w:rPr>
        <w:t>一、引言</w:t>
      </w:r>
      <w:bookmarkEnd w:id="0"/>
    </w:p>
    <w:p w14:paraId="54DD159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1" w:name="_Toc21794"/>
      <w:r>
        <w:rPr>
          <w:shd w:val="clear" w:fill="FFFFFF"/>
        </w:rPr>
        <w:t>1、需求背景</w:t>
      </w:r>
      <w:bookmarkEnd w:id="1"/>
    </w:p>
    <w:p w14:paraId="1A5C3A70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金控集团战略部推进指标体系数据化应用，在金控指标体系之上建设「数据应用」平台，以「固定报表管理」模块将各业务板块指标体系固化为线上报表，替代线下 Excel 报送与查阅，实现指标展示口径的统一与实时化。</w:t>
      </w:r>
    </w:p>
    <w:p w14:paraId="3A1C7BE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本文档为平台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华润银行模块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的需求说明：围绕 9 张固定报表，定义页面框架、指标清单、层级与标签、展示与取值规则，作为开发实现与业务核对的依据。文档中指标名称、单位、层级与列结构均与指标体系梳理结果一致；当前数值为演示示例，正式环境由数据接口替换，展示规则不变。</w:t>
      </w:r>
    </w:p>
    <w:p w14:paraId="2065EEC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2" w:name="_Toc11318"/>
      <w:r>
        <w:rPr>
          <w:shd w:val="clear" w:fill="FFFFFF"/>
        </w:rPr>
        <w:t>2、术语与定义</w:t>
      </w:r>
      <w:bookmarkEnd w:id="2"/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399"/>
        <w:gridCol w:w="6897"/>
      </w:tblGrid>
      <w:tr w14:paraId="22E90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cantSplit/>
          <w:tblHeader/>
        </w:trPr>
        <w:tc>
          <w:tcPr>
            <w:tcW w:w="129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41C7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术语/列名</w:t>
            </w:r>
          </w:p>
        </w:tc>
        <w:tc>
          <w:tcPr>
            <w:tcW w:w="37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05BEB8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口径说明</w:t>
            </w:r>
          </w:p>
        </w:tc>
      </w:tr>
      <w:tr w14:paraId="2D2D7A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C395A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去年末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D373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上一自然年年末值</w:t>
            </w:r>
          </w:p>
        </w:tc>
      </w:tr>
      <w:tr w14:paraId="4CCA35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C643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当月值-实际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773A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当月单月发生数（流量指标）；时点/比率类指标不适用时置 --</w:t>
            </w:r>
          </w:p>
        </w:tc>
      </w:tr>
      <w:tr w14:paraId="4E202C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812D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当月值-环比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332F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当月较上月变动幅度（%）；比率类为百分点差（ppt）</w:t>
            </w:r>
          </w:p>
        </w:tc>
      </w:tr>
      <w:tr w14:paraId="55E8F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D63F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截止本月末-实际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9A60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本月末时点数（存量）或本年累计发生数（流量），以各指标口径为准</w:t>
            </w:r>
          </w:p>
        </w:tc>
      </w:tr>
      <w:tr w14:paraId="764D1E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C0F5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同比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2197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较上年同期变动幅度（%）；比率类指标为百分点差（ppt）</w:t>
            </w:r>
          </w:p>
        </w:tc>
      </w:tr>
      <w:tr w14:paraId="042A5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D691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较年初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0F38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较去年末变动幅度（%）；比率类为 ppt；部分报表已按需求删除/隐藏该列</w:t>
            </w:r>
          </w:p>
        </w:tc>
      </w:tr>
      <w:tr w14:paraId="17AEB1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F7C3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全年预算 / 预算达成率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851E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全年预算来源于业务在通用报送平台的维护数据；达成率 =（截止本月末实际 ÷ 全年预算）× 100%（含进度条分色：≥95% 绿、85~95 黄、&lt;85% 红）；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净增量口径例外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：公司有效客户数、基石客户、产融协同客户数、代发客户数、零售高净值客户数 =（截止本月末实际 − 上一年度年末实际）÷ 全年预算 × 100%</w:t>
            </w:r>
          </w:p>
        </w:tc>
      </w:tr>
      <w:tr w14:paraId="4E2A44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80E8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考核指标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56A5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纳入绩效考核的指标，蓝色标签；唯一有权显示预算/达成率的行</w:t>
            </w:r>
          </w:p>
        </w:tc>
      </w:tr>
      <w:tr w14:paraId="28BABB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5CED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高质量指标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5EB3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高质量发展监测指标，绿色标签；可与考核指标双标签并存</w:t>
            </w:r>
          </w:p>
        </w:tc>
      </w:tr>
      <w:tr w14:paraId="0A96AD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E9B8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监管要求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949B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监管红线阈值（03 表专用列，如 ≥100%、≥10.5%）</w:t>
            </w:r>
          </w:p>
        </w:tc>
      </w:tr>
      <w:tr w14:paraId="0C21B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AB9C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ppt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7294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percentage point，百分点：两个百分比数值的算术差（如 4.35%→4.10% 为 -0.25ppt）</w:t>
            </w:r>
          </w:p>
        </w:tc>
      </w:tr>
      <w:tr w14:paraId="4C856A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8956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N/A 与 --</w:t>
            </w:r>
          </w:p>
        </w:tc>
        <w:tc>
          <w:tcPr>
            <w:tcW w:w="3709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DA58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N/A=所选期间无历史数据（灰）；--=该指标此列不适用/无值（灰色加粗）</w:t>
            </w:r>
          </w:p>
        </w:tc>
      </w:tr>
    </w:tbl>
    <w:p w14:paraId="056A85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3" w:name="_Toc31936"/>
      <w:r>
        <w:rPr>
          <w:shd w:val="clear" w:fill="FFFFFF"/>
        </w:rPr>
        <w:t>3、需求范围</w:t>
      </w:r>
      <w:bookmarkEnd w:id="3"/>
    </w:p>
    <w:p w14:paraId="380398F8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入口路径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：平台顶部导航「数据应用」→ 左侧菜单「固定报表管理 → 华润银行」→ 点击报表名称进入对应页面。</w:t>
      </w:r>
    </w:p>
    <w:p w14:paraId="5638F51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范围内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：①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固定报表需求说明（2.1）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：华润银行 9 张固定报表的通用展示需求（2.1.1）与分报表差异化需求（2.1.2），含页面框架、数据日期与期间查询、指标概览卡片、明细表结构与取值口径、预算一致性与单元格合并规则；②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报表台账管理需求说明（2.2）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：平台「报表台账管理」菜单下华润银行 9 张报表台账的页面结构、取数与展示规则。</w:t>
      </w:r>
    </w:p>
    <w:p w14:paraId="64E83CD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范围外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：数据接口与 ETL 实现、通用报送平台的预算维护功能、平台权限体系实现（权限需求见第三章）。</w:t>
      </w:r>
    </w:p>
    <w:p w14:paraId="59501E2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报表清单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（共 9 张）：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32"/>
        <w:gridCol w:w="993"/>
        <w:gridCol w:w="993"/>
        <w:gridCol w:w="993"/>
        <w:gridCol w:w="1355"/>
        <w:gridCol w:w="1174"/>
        <w:gridCol w:w="993"/>
        <w:gridCol w:w="1174"/>
        <w:gridCol w:w="1535"/>
      </w:tblGrid>
      <w:tr w14:paraId="6BBF87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2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F25000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CBF00C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报表名称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E3012F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更新频率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64AB3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指标行数</w:t>
            </w:r>
          </w:p>
        </w:tc>
        <w:tc>
          <w:tcPr>
            <w:tcW w:w="6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9ED698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指标概览卡片</w:t>
            </w:r>
          </w:p>
        </w:tc>
        <w:tc>
          <w:tcPr>
            <w:tcW w:w="59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14C66D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当月值列组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214E0E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较年初列</w:t>
            </w:r>
          </w:p>
        </w:tc>
        <w:tc>
          <w:tcPr>
            <w:tcW w:w="59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1D8CAD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全年预算列</w:t>
            </w:r>
          </w:p>
        </w:tc>
        <w:tc>
          <w:tcPr>
            <w:tcW w:w="78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FCDD88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指标属性标签列</w:t>
            </w:r>
          </w:p>
        </w:tc>
      </w:tr>
      <w:tr w14:paraId="0F401F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512E6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01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7F16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01-资产负债简表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52383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3DE6C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20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9B531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FDECD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7C3E7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CAA7B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83B6D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</w:tr>
      <w:tr w14:paraId="5ABA8E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EBAC6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02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536D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02-损益表简表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776A3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9DA82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3673B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17F73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0A6EA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8DFAB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62567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77EE76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F229A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03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0DA9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03-关键监测指标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F8B03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季度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8376C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21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96EFE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62E7E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2F38A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CBC65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D2E4E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4E300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0512C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04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3D05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04-收入结构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96E18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0BEAE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21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61908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F79A8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B46CD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18F19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92D31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1E05A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6C159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05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8CA4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05-成本结构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3118E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B800A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18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1B9C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2138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69851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D17F3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77D9C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</w:tr>
      <w:tr w14:paraId="1DAA8A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1971F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06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8104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06-存贷结构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16FE9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52182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30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76A1D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89DBB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B5508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28D45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62002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1F2DE0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CC3CB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07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0EFD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07-利率结构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CC4A3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9F018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15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B5604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80344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ABC4E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04012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F935A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</w:tr>
      <w:tr w14:paraId="46C2F3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C1784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08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BC91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08-客群结构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01AA7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CBB05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022B3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163C2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2D302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1DA93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2561E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51B451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7CEE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09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ECF3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09-风险情况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AFA00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CB72D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15</w:t>
            </w:r>
          </w:p>
        </w:tc>
        <w:tc>
          <w:tcPr>
            <w:tcW w:w="688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37EBB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1DD31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2"/>
                <w:sz w:val="18"/>
                <w:szCs w:val="18"/>
              </w:rPr>
              <w:t>无</w:t>
            </w: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9E1B8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BBB44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EBD24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</w:tbl>
    <w:p w14:paraId="4E7E4D7C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注：报表菜单名不显示「(N个)」后缀；06/08/09 表 sheet 名中的个数为 Excel 模板原文标注，实际行数以上表为准（06=30 行、08=14 行、09=15 行）。</w:t>
      </w:r>
    </w:p>
    <w:p w14:paraId="4C7BE5D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4" w:name="_Toc7998"/>
      <w:r>
        <w:rPr>
          <w:shd w:val="clear" w:fill="FFFFFF"/>
        </w:rPr>
        <w:t>二、功能需求</w:t>
      </w:r>
      <w:bookmarkEnd w:id="4"/>
    </w:p>
    <w:p w14:paraId="1CFDF2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5" w:name="_Toc31520"/>
      <w:r>
        <w:rPr>
          <w:shd w:val="clear" w:fill="FFFFFF"/>
        </w:rPr>
        <w:t>2.1　固定报表需求说明</w:t>
      </w:r>
      <w:bookmarkEnd w:id="5"/>
    </w:p>
    <w:p w14:paraId="063725C0">
      <w:pPr>
        <w:pStyle w:val="70"/>
        <w:keepNext w:val="0"/>
        <w:keepLines w:val="0"/>
        <w:widowControl/>
        <w:suppressLineNumbers w:val="0"/>
        <w:spacing w:before="80" w:beforeAutospacing="0" w:after="80" w:afterAutospacing="0" w:line="23" w:lineRule="atLeast"/>
        <w:ind w:left="0" w:right="0"/>
      </w:pPr>
      <w:r>
        <w:rPr>
          <w:rFonts w:hint="eastAsia" w:ascii="宋体" w:hAnsi="宋体" w:eastAsia="宋体" w:cs="宋体"/>
          <w:sz w:val="24"/>
          <w:szCs w:val="24"/>
          <w:shd w:val="clear" w:fill="FFFFFF"/>
        </w:rPr>
        <w:t>本节约定华润银行 9 张固定报表的通用展示与取值规则（2.1.1），以及每张报表的差异化需求（2.1.2）；报表台账管理需求见 2.2。</w:t>
      </w:r>
    </w:p>
    <w:p w14:paraId="4BA91E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　通用需求（9 张报表共用）</w:t>
      </w:r>
    </w:p>
    <w:p w14:paraId="67B0D97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2.1.1.1　页面框架</w:t>
      </w:r>
    </w:p>
    <w:p w14:paraId="354E2062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每张报表页面自上而下由三部分组成：</w:t>
      </w:r>
    </w:p>
    <w:p w14:paraId="4B0641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面板头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：左侧页面标题；右侧依次为「更新频率」块（月度/季度）、「📅 数据日期」年+月双下拉、「📥 导出」按钮。</w:t>
      </w:r>
    </w:p>
    <w:p w14:paraId="1F2E44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指标概览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：折叠条（「指标概览 · 4 项核心 KPI」，默认展开，可点击收起）+ 4 张 KPI 卡片（淡蓝/淡金/淡绿/淡粉四色轮排）；卡片含 指标名、数值+单位、同比行、较年初行（部分报表不显示较年初，见各章）。</w:t>
      </w:r>
    </w:p>
    <w:p w14:paraId="576B21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明细表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：白底卡片内两级表头 + 全量指标行；表头吸顶、超高滚动（最大高度约 600px）。</w:t>
      </w:r>
    </w:p>
    <w:p w14:paraId="74E802B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2.1.1.2　数据日期与期间查询</w:t>
      </w:r>
    </w:p>
    <w:p w14:paraId="2A51C0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年份下拉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：可选范围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2024 ～ 当前年度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，默认选中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当前年度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8A3A7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月份下拉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：可选范围为所选年份的 1~12 月，默认选中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日历上月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（有数据）；若当前为 1 月，则默认选中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上一年 12 月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（年份随之联动为上一年）。</w:t>
      </w:r>
    </w:p>
    <w:p w14:paraId="763C14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季度报表（03-关键监测指标）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：月份下拉切换为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Q1~Q4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 季度下拉，默认选中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上一个已完结季度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；补充说明：若当前在 1~3 月，上一个已完结季度为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上一年 Q4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27F17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切换年/月后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自动查询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并重渲染页面，右上角 toast 提示「已加载 XXXX 年 X 月 数据 · 报表名」。</w:t>
      </w:r>
    </w:p>
    <w:p w14:paraId="75AB8F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查询加载后无数据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：保留 KPI 卡片、表头、指标行结构，数值显示灰色 </w:t>
      </w:r>
      <w:r>
        <w:rPr>
          <w:rStyle w:val="18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，toast 提示「无历史数据，仅显示报表结构」。</w:t>
      </w:r>
    </w:p>
    <w:p w14:paraId="2E83E21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2.1.1.3　指标名称层级样式</w:t>
      </w:r>
    </w:p>
    <w:p w14:paraId="2D79E2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一级（lv0）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：加粗、深蓝色、左对齐顶格。</w:t>
      </w:r>
    </w:p>
    <w:p w14:paraId="4392F6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二级（lv1）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：黑体（SimHei）、正常字重、左对齐。</w:t>
      </w:r>
    </w:p>
    <w:p w14:paraId="33CAB3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三级（lv2）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：浅灰色、右对齐（当前银行 9 表中未使用，保留能力）。</w:t>
      </w:r>
    </w:p>
    <w:p w14:paraId="701FC00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2.1.1.4　指标属性标签列（含该列的报表）</w:t>
      </w:r>
    </w:p>
    <w:p w14:paraId="2C542B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蓝色标签「考核指标」；绿色标签「高质量指标」。</w:t>
      </w:r>
    </w:p>
    <w:p w14:paraId="394C0B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无标签 → 灰色占位 </w:t>
      </w:r>
      <w:r>
        <w:rPr>
          <w:rStyle w:val="252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594AC7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2.1.1.5　数值与涨跌显示规范</w:t>
      </w:r>
    </w:p>
    <w:p w14:paraId="29B45F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数值列：正增长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红色 ▲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、负增长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绿色 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、零值灰色无箭头（金融业惯例：红涨绿跌）。</w:t>
      </w:r>
    </w:p>
    <w:p w14:paraId="278DD4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同比/环比/较年初列表头不带 (%) 后缀（2026-09 统一优化），单位随数值单元格自带（% 或 ppt）。</w:t>
      </w:r>
    </w:p>
    <w:p w14:paraId="037D97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占位符统一：数据级占位 - → 灰色加粗 </w:t>
      </w:r>
      <w:r>
        <w:rPr>
          <w:rStyle w:val="252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；取不到数据 → 灰色 </w:t>
      </w:r>
      <w:r>
        <w:rPr>
          <w:rStyle w:val="18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4ED11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比率类指标（单位 %）的变动值用 ppt（百分点），金额/数量类用 %。</w:t>
      </w:r>
    </w:p>
    <w:p w14:paraId="2618176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2.1.1.6　指标取值说明（去年末、当月值 / 当季值、截止本月末 / 截止本季末、年初余额）</w:t>
      </w:r>
    </w:p>
    <w:p w14:paraId="4AB76B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去年末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取上一年度 12 月、时间维度为【本年累计数】；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取上一年度 12 月、时间维度为【本月末】。</w:t>
      </w:r>
    </w:p>
    <w:p w14:paraId="254293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当月值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：适用于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，同指标分组编码下，取时间维度为【本月数】。</w:t>
      </w:r>
    </w:p>
    <w:p w14:paraId="294D1D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当季值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：适用于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，同指标分组编码下，取时间维度为【本季数】。</w:t>
      </w:r>
    </w:p>
    <w:p w14:paraId="7055D4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取时间维度为【本年累计数】；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取时间维度为【本月末】。</w:t>
      </w:r>
    </w:p>
    <w:p w14:paraId="4B9659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取时间维度为【本年累计数】；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取时间维度为【本季末】。</w:t>
      </w:r>
    </w:p>
    <w:p w14:paraId="30F764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年初余额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：适用于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，取上一年度 12 月、时间维度为【本月末】。</w:t>
      </w:r>
    </w:p>
    <w:p w14:paraId="241437D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2.1.1.7　指标计算公式说明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53"/>
        <w:gridCol w:w="1491"/>
        <w:gridCol w:w="1154"/>
        <w:gridCol w:w="1594"/>
        <w:gridCol w:w="770"/>
        <w:gridCol w:w="1799"/>
        <w:gridCol w:w="1535"/>
      </w:tblGrid>
      <w:tr w14:paraId="2446E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314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9E324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时间类型</w:t>
            </w:r>
          </w:p>
        </w:tc>
        <w:tc>
          <w:tcPr>
            <w:tcW w:w="1478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24C057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当月值</w:t>
            </w:r>
          </w:p>
        </w:tc>
        <w:tc>
          <w:tcPr>
            <w:tcW w:w="2206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1C1A3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8"/>
                <w:szCs w:val="18"/>
              </w:rPr>
              <w:t>截止本月末</w:t>
            </w:r>
          </w:p>
        </w:tc>
      </w:tr>
      <w:tr w14:paraId="7B4BDA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51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4A5EB0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时间类型</w:t>
            </w:r>
          </w:p>
        </w:tc>
        <w:tc>
          <w:tcPr>
            <w:tcW w:w="8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059D98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举例</w:t>
            </w:r>
          </w:p>
        </w:tc>
        <w:tc>
          <w:tcPr>
            <w:tcW w:w="6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8ACB7C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实际</w:t>
            </w:r>
          </w:p>
        </w:tc>
        <w:tc>
          <w:tcPr>
            <w:tcW w:w="8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A648D9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环比</w:t>
            </w:r>
          </w:p>
        </w:tc>
        <w:tc>
          <w:tcPr>
            <w:tcW w:w="41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59BBAD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实际</w:t>
            </w:r>
          </w:p>
        </w:tc>
        <w:tc>
          <w:tcPr>
            <w:tcW w:w="9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134DC8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同比</w:t>
            </w:r>
          </w:p>
        </w:tc>
        <w:tc>
          <w:tcPr>
            <w:tcW w:w="8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01DCBE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FFFFFF"/>
                <w:sz w:val="17"/>
                <w:szCs w:val="17"/>
              </w:rPr>
              <w:t>较年初</w:t>
            </w:r>
          </w:p>
        </w:tc>
      </w:tr>
      <w:tr w14:paraId="505A99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6FCA0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期间值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FD3D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金额类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（保费、收入、利润）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7D4F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截止本月累计-截止上月累计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1017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(本月当月值-上月当月值)/上月当月值【%】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BF37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本年累计数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43D5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(本年累计-去年同月累计)/去年同月累计【%】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D85A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</w:tr>
      <w:tr w14:paraId="5C4ED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773C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时点值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B7F9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金额类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（余额、规模）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8912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D606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743A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本月末余额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2B41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(本月末余额-去年同月末余额)/去年同月末余额【%】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492C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(本月末余额-年初余额)/年初余额【%】</w:t>
            </w:r>
          </w:p>
        </w:tc>
      </w:tr>
      <w:tr w14:paraId="648E97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4241D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期间值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AF65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比率类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（ROE、新增不良率）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2052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4841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E9D2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本月末数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3C85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本期比率-去年同期比率【百分点】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0440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</w:tr>
      <w:tr w14:paraId="6C020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1B142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时点值</w:t>
            </w:r>
          </w:p>
        </w:tc>
        <w:tc>
          <w:tcPr>
            <w:tcW w:w="80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9E8A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比率类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（不良率、占比、覆盖率）</w:t>
            </w:r>
          </w:p>
        </w:tc>
        <w:tc>
          <w:tcPr>
            <w:tcW w:w="62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9FE4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5FA9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062C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本月末数</w:t>
            </w:r>
          </w:p>
        </w:tc>
        <w:tc>
          <w:tcPr>
            <w:tcW w:w="9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C2B7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本期比率-去年同期比率【百分点】</w:t>
            </w:r>
          </w:p>
        </w:tc>
        <w:tc>
          <w:tcPr>
            <w:tcW w:w="825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2519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本期比率-年初比率【百分点】</w:t>
            </w:r>
          </w:p>
        </w:tc>
      </w:tr>
    </w:tbl>
    <w:p w14:paraId="62867A4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2.1.1.8　预算一致性规则</w:t>
      </w:r>
    </w:p>
    <w:p w14:paraId="5E5F32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业务在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通用报送平台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维护了全年预算的指标，则显示「全年预算」「预算达成率」值；否则两列一律 </w:t>
      </w:r>
      <w:r>
        <w:rPr>
          <w:rStyle w:val="252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371D7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预算达成率 = （截止本月末实际值 ÷ 全年预算）× 100%，单元格内含进度条：≥95% 绿色、85%~95% 黄色、&lt;85% 红色。</w:t>
      </w:r>
    </w:p>
    <w:p w14:paraId="5A9765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特别说明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：以下指标的预算达成率计算公式为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（截止本月末实际值 − 上一年度年末实际值）÷ 全年预算值 × 100%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（净增量口径）：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公司有效客户数、基石客户、产融协同客户数、代发客户数、零售高净值客户数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（以上 5 项均属 08-客群结构）。</w:t>
      </w:r>
    </w:p>
    <w:p w14:paraId="1467916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2.1.1.9　单元格合并</w:t>
      </w:r>
    </w:p>
    <w:p w14:paraId="126F316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「指标分类」「指标分项」列，单元格按相同分类规则纵向合并，合并区间见各报表原型样式；</w:t>
      </w:r>
    </w:p>
    <w:p w14:paraId="2DA7E14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　分报表需求</w:t>
      </w:r>
    </w:p>
    <w:p w14:paraId="641AADE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2.1.2.1　01-资产负债简表　</w:t>
      </w:r>
      <w:r>
        <w:rPr>
          <w:rStyle w:val="253"/>
          <w:b/>
          <w:bCs/>
          <w:shd w:val="clear" w:fill="FFFFFF"/>
        </w:rPr>
        <w:t>20 项指标</w:t>
      </w:r>
    </w:p>
    <w:p w14:paraId="1DA41F3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85"/>
        <w:gridCol w:w="3721"/>
        <w:gridCol w:w="1175"/>
        <w:gridCol w:w="2865"/>
      </w:tblGrid>
      <w:tr w14:paraId="375C90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533870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831F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01-资产负债简表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CF08B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F5E6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资产负债简表</w:t>
            </w:r>
          </w:p>
        </w:tc>
      </w:tr>
      <w:tr w14:paraId="6F5B74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395E21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6618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21073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225D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 行</w:t>
            </w:r>
          </w:p>
        </w:tc>
      </w:tr>
      <w:tr w14:paraId="2F4E6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EEB0E8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8071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0FDFDF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DBC1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 列（含指标名称等结构列）</w:t>
            </w:r>
          </w:p>
        </w:tc>
      </w:tr>
      <w:tr w14:paraId="33AC5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2B9186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C389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CEDD1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C37B6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2EFF432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295042A8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2072EBB6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卡片1·总资产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980E135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卡片2·贷款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42ECBA7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卡片3·存款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FE40348">
      <w:pPr>
        <w:keepNext w:val="0"/>
        <w:keepLines w:val="0"/>
        <w:widowControl/>
        <w:numPr>
          <w:ilvl w:val="0"/>
          <w:numId w:val="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卡片4·所有者权益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B128C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24B354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63303A8B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华润银行-01-资产负债简表-2026-08.xlsx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142CE9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0CF88919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16"/>
        <w:gridCol w:w="2118"/>
        <w:gridCol w:w="816"/>
        <w:gridCol w:w="1144"/>
        <w:gridCol w:w="816"/>
        <w:gridCol w:w="816"/>
        <w:gridCol w:w="1148"/>
        <w:gridCol w:w="1472"/>
      </w:tblGrid>
      <w:tr w14:paraId="46581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cantSplit/>
          <w:tblHeader/>
        </w:trPr>
        <w:tc>
          <w:tcPr>
            <w:tcW w:w="44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5BB768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115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74767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44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D2997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62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95AF6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1519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491AE4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8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6B1224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2C600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44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27EA35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15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786BC0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8C8A42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9ED9EA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A35EA0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E2830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6E0CFE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8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CDA79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11720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C738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7625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总资产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F69A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8E0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A511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8642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2BB4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6EE7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84F03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A511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4E1B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69D9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CF4E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6AE0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80FA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12C1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9472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BC8D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D8F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2A7D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普通贷款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06B0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BD199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96DB1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E8B78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2F86D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E8A8A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6A05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0336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EF86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福费廷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8042F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9BE0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0AF6A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E623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F327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A80E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5359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9F5B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80AC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票据贴现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05FC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1D9F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53C46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0D22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EDD73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8AF3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9EC0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5B75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009D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投资类资产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5AA7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9269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25C25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924F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026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43A4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1C50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6FD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8EBF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债券投资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88B8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B20E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38A22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53AF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FCAE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66A5B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0281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3CB3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52CF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E909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0350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3419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9155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75A5B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2B73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0F00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7C5E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874C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信托基金投资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A6CE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9B11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509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D6BB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0EF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2994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3368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4208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7DAE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6B2C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93CB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C71B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8435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92C5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6333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DFED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4F1F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DAF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存拆放同业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105A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35CE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32B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6C3F3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72ED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E1A1E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0A3BB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B95D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D3B9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买入返售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39CB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32239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3CFC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3F95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EF41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3A1D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6B8D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65F5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8767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存放央行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C349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6340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AB18A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363EC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3FF2E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DB6D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A041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5B08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909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总负债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14D4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33311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595BB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9371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BAFF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DCD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561D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0D80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1B25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36B4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ECE3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3F0A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FEB1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BACB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5B3E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4AF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FA26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C816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应付债券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57E7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52BD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C53A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5AF7E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8EE4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0329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C933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079D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5F77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同业存拆放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992F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A00C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BAF5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547F5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6218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4A78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3D92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00AC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8A34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卖出回购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DC05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04C3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0DBF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FECD3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1FB4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F993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0D87A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06C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C695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向央行借款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8950C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2B29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A0E9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EF32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E5ED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3E5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DBB3F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1121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7E7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所有者权益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E4CD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94A24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9A0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A767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898C8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0921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62CB616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4C053225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0D6E2920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"D:\\work-2026\\AI-test\\华润-战略部数据应用-LAB\\shots\\bank01.png"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5" o:spt="75" alt="D:\work-2026\AI-test\华润-战略部数据应用-LAB\shots\bank01.png" type="#_x0000_t75" style="height:353.25pt;width:440pt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132BB3D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2.1.2.2　02-损益表简表　</w:t>
      </w:r>
      <w:r>
        <w:rPr>
          <w:rStyle w:val="253"/>
          <w:b/>
          <w:bCs/>
          <w:shd w:val="clear" w:fill="FFFFFF"/>
        </w:rPr>
        <w:t>14 项指标</w:t>
      </w:r>
    </w:p>
    <w:p w14:paraId="5909F79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437BF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0DD0AF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EFE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02-损益表简表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FC9D73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6068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损益表简表</w:t>
            </w:r>
          </w:p>
        </w:tc>
      </w:tr>
      <w:tr w14:paraId="28212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10FEBD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FF0E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5E1E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5D7A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 行</w:t>
            </w:r>
          </w:p>
        </w:tc>
      </w:tr>
      <w:tr w14:paraId="12A254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3FCE57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22D4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97F368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30AE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 列（含指标名称等结构列）</w:t>
            </w:r>
          </w:p>
        </w:tc>
      </w:tr>
      <w:tr w14:paraId="5892D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EE5542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A577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3F77E0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AC3C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59A2C70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1DE0468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0CE7F9E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卡片1·营业收入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85A4B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卡片2·拨备前利润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D0D358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卡片3·利润总额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5CB62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卡片4·净利润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47A8DC2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65A44B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2DD9F3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华润银行-02-损益表简表-2026-08.xlsx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2F1918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2C5865B9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79"/>
        <w:gridCol w:w="2023"/>
        <w:gridCol w:w="480"/>
        <w:gridCol w:w="1069"/>
        <w:gridCol w:w="626"/>
        <w:gridCol w:w="480"/>
        <w:gridCol w:w="482"/>
        <w:gridCol w:w="516"/>
        <w:gridCol w:w="518"/>
        <w:gridCol w:w="775"/>
        <w:gridCol w:w="923"/>
        <w:gridCol w:w="775"/>
      </w:tblGrid>
      <w:tr w14:paraId="46E677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0D0A6E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110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AE6150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C7CD8A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58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B10FB3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34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436C84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525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13B5AB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当月值</w:t>
            </w:r>
          </w:p>
        </w:tc>
        <w:tc>
          <w:tcPr>
            <w:tcW w:w="565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4AE55F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2C1F13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5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242BF9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B9D8BA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20B5A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5FAB96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10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5B7A4E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2ED5EA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8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B8CAD4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620E12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49B48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04FFFF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环比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2DCDCA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1CD08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222542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C832CB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3AB8F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29391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6509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C31B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营业收入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D64B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DF377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C3EC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DEBA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0DEF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016D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78EE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E5F8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2DAA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BBEB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47D0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F9DE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825D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利息净收入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9467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BE00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E382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E127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CE4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1D82A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692D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C760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CDEE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2173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B383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7B08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DA42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非息净收入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1E0A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51C2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ABBA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B366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6C904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3D5F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FD9D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CA1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A49F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8E40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A39C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B97B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52DE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其中：手续费及佣金净收入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AE63A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E749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E9E8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5035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F6695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0DA1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815D2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88B5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4BCC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2C22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20AA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841CA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0B0F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其他非息收入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AE40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FC5C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E8D1D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1B61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5D6B4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796E1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A6E56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25A2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7EE8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BD6D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1592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DDC9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DF40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投资收益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B863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F6F3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8BC4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1525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5F95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B929F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03D9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92B0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54D2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0D11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89C8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C547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E31E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公允价值变动损益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7FCB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F591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D546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CF6F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5C2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55F63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E510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7097D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B529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62F7D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6B2E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1501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3AF0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业务及管理费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1525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4B2E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C872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E8E7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3C81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4A4EF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67CE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DF82E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1D4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3E3B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379B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6CE7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4477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税金及附加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2AC0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7765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97F02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9CD8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5AAE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52F2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AAFF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F838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6295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70F1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9987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A5B7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2451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拨备前利润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7639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9F254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6F9D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F391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4ECD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F1A2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DB55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094B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7E8C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B487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56E5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3452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1540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信用减值损失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59D8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B4ED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225E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C29C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4DAB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62E60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02D2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108F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B06A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16D1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2227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6E85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320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利润总额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995A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3F7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666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9C0D1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6A86B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836B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DB47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1ADBB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F13E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2375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1D26D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12431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1CE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所得税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F716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47BB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1902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C457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C11C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750F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0D1E4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0FCF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0718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F6F9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875A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3507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46DB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净利润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662C4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8169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D8B6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A752E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F7D6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791D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C15C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9B1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72C9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B25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</w:tbl>
    <w:p w14:paraId="6C4212F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2D4A0C49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53F94F5E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"D:\\work-2026\\AI-test\\华润-战略部数据应用-LAB\\shots\\bank02.png"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6" o:spt="75" alt="D:\work-2026\AI-test\华润-战略部数据应用-LAB\shots\bank02.png" type="#_x0000_t75" style="height:291.75pt;width:440pt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5ABFCF1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2.1.2.3　03-关键监测指标　</w:t>
      </w:r>
      <w:r>
        <w:rPr>
          <w:rStyle w:val="253"/>
          <w:b/>
          <w:bCs/>
          <w:shd w:val="clear" w:fill="FFFFFF"/>
        </w:rPr>
        <w:t>21 项指标</w:t>
      </w:r>
    </w:p>
    <w:p w14:paraId="06C7A92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6B4995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6C1531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AEE2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03-关键监测指标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AF0C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98BB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关键监测指标</w:t>
            </w:r>
          </w:p>
        </w:tc>
      </w:tr>
      <w:tr w14:paraId="46227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1DC55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2072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季度（数据日期下拉为 Q1~Q4）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517A6A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BC5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21 行</w:t>
            </w:r>
          </w:p>
        </w:tc>
      </w:tr>
      <w:tr w14:paraId="1CC05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53EE3A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879A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18AF8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1944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 列（含指标名称等结构列）</w:t>
            </w:r>
          </w:p>
        </w:tc>
      </w:tr>
      <w:tr w14:paraId="3355B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60945F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CBB7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8CE3C5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4FBB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4CF6F35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7092332F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091FE7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卡片1·流动性覆盖率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680ED8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卡片2·拨备覆盖率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857B32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卡片3·资本充足率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DD08B0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卡片4·房地产贷款集中度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DD9231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3D2BFE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65B04BC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华润银行-03-关键监测指标-2026Q2.xlsx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5CF7E27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3AC795C6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p w14:paraId="03FF34B7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</w:rPr>
        <w:t>监管要求取值说明</w:t>
      </w:r>
      <w:r>
        <w:rPr>
          <w:rFonts w:hint="eastAsia" w:ascii="宋体" w:hAnsi="宋体" w:eastAsia="宋体" w:cs="宋体"/>
        </w:rPr>
        <w:t>：对于监管要求类的指标，由业务提供监管数据，在数据库通过指标编号、指标名称对监管取值进行统一维护；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8"/>
        <w:gridCol w:w="794"/>
        <w:gridCol w:w="1508"/>
        <w:gridCol w:w="448"/>
        <w:gridCol w:w="913"/>
        <w:gridCol w:w="844"/>
        <w:gridCol w:w="566"/>
        <w:gridCol w:w="448"/>
        <w:gridCol w:w="448"/>
        <w:gridCol w:w="567"/>
        <w:gridCol w:w="681"/>
        <w:gridCol w:w="797"/>
        <w:gridCol w:w="684"/>
      </w:tblGrid>
      <w:tr w14:paraId="6C535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cantSplit/>
          <w:tblHeader/>
        </w:trPr>
        <w:tc>
          <w:tcPr>
            <w:tcW w:w="24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FD5A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676D6B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2029" w:type="pct"/>
            <w:gridSpan w:val="4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3A7ACB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监测指标信息</w:t>
            </w:r>
          </w:p>
        </w:tc>
        <w:tc>
          <w:tcPr>
            <w:tcW w:w="30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AEDFD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800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090F4C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截止本季末</w:t>
            </w:r>
          </w:p>
        </w:tc>
        <w:tc>
          <w:tcPr>
            <w:tcW w:w="37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329C24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43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91F12D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7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0661D3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0F2F2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6B3BA3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59C599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99B65C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35284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856BD3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0D241E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监管要求</w:t>
            </w:r>
          </w:p>
        </w:tc>
        <w:tc>
          <w:tcPr>
            <w:tcW w:w="30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2055E3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4C4184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C02DA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C74A84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37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CEEA13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9D2000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7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50F05A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24AF7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009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DB64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流动性风险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7A6A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流动性覆盖率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7EF2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196D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0738E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≥100%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40A2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004A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FA8C4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265A8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596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9343E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96AC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BF84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8F790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C3C5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E032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净稳定资金比例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18CA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78BC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2F8F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≥100%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05EB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BF6B8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3BEF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4C40C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9BD2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641F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100C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7F5B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FBAB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D2A9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600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流动性缺口率（90天）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1937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6E9C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5B29E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≥-10%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D889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CD0D7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073A7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C1D7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6F49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9D22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6D51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0292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415B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5AD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6F34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核心负债比例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8DA8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12B3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44FA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≥60%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2487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5110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60DC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46C5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595E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41CE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433F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F0D2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6FAC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7464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信用风险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1C1B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拨备覆盖率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58428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3F66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0E80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≥150%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F4F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A89E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68CC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81C1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1E6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56D6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0FBD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8F81F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81A4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D3B7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C684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贷款拨备率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7831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BA66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8F09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≥2.5%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4784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ADF8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E9F0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03ABD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1976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381C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D4161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3277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EC64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7E5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盈利性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6079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资产利润率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24CD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880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B3EF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8070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E7011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8E7B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698A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85D5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FB58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E799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2BA3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982F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74C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7FAB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资本利润率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3246B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ED3F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2544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A4895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6330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B2E7D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912F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5BCA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A6D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0982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0F66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F09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6DF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56CD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风险资产利润率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94BE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42B2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D1A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558C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A20B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C004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B700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683A8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D6AD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ABB3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F2F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45DC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992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6749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成本收入比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66CC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0094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1ED6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2AE2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64D98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6FE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96B1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1469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DDF2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D1C2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ADF9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66B1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8035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资本充足性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CE88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资本净额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994E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2F63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6E2A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1D6F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A15E8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A7421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8237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1754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9BAA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129B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55DB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ACB3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06EF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68B2B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资本充足率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27A5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58F5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D036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≥10.5%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4F22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A6FB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B5F2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233AE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B316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16CE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A285E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B9CF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0281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84ED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93B6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一级资本净额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FE7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E712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0615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0012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EAEC6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2A96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B51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FB0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756C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F6FC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BB99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6DE7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84EC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99C9A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一级资本充足率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6690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0F86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72C0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≥8.5%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C691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98F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BE34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64543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4BB6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CEAC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43EF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10FF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DC34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4721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B8C79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核心一级资本净额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26C2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6C32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5D7A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68940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E19C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8457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AE2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9F96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48BA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415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6858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C89B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3D34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E5CA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核心一级资本充足率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FA7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FEB6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7FC2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≥7.5%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B1822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B4E8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8B3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25E1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941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05E9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4A0D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B2C7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072D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B290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B746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杠杆率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86AA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E949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85F7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≥4%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88F4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2385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A7B0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0E1F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FF28D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E948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BDE6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00D6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CFFF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1567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DEC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风险加权资产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4B7D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9B4F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1DEA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129D8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43EEE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08127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FAA3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004F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4260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1A35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C7FB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1A28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DFF7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集中度指标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0E54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房地产贷款集中度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15F7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47B3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E6FA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3CC5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482B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ECB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1EAA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E7E8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D81CE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E7BE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03CA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508C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DAA0D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0AC4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非同业集团客户集中度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A14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C07A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AA2DD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0CF9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2F68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3ED9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71E4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10AF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092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9599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78AEA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F7A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21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6F13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4F09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非同业单一客户集中度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A851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329D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CF98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2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6002C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5C2D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6F8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22B3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F0D5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196F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BF2C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7B5E2D5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34DF206D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7ED9130E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"D:\\work-2026\\AI-test\\华润-战略部数据应用-LAB\\shots\\bank03.png"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7" o:spt="75" alt="D:\work-2026\AI-test\华润-战略部数据应用-LAB\shots\bank03.png" type="#_x0000_t75" style="height:371.25pt;width:440pt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59EE546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2.1.2.4　04-收入结构　</w:t>
      </w:r>
      <w:r>
        <w:rPr>
          <w:rStyle w:val="253"/>
          <w:b/>
          <w:bCs/>
          <w:shd w:val="clear" w:fill="FFFFFF"/>
        </w:rPr>
        <w:t>21 项指标</w:t>
      </w:r>
    </w:p>
    <w:p w14:paraId="7091359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405A2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915896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D7DB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04-收入结构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8D751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20F0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收入结构</w:t>
            </w:r>
          </w:p>
        </w:tc>
      </w:tr>
      <w:tr w14:paraId="11E40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2E2DFB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88EE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273440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7F15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21 行</w:t>
            </w:r>
          </w:p>
        </w:tc>
      </w:tr>
      <w:tr w14:paraId="329F0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B0231B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061D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DD02B2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4FC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13 列（含指标名称等结构列）</w:t>
            </w:r>
          </w:p>
        </w:tc>
      </w:tr>
      <w:tr w14:paraId="22B2C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C764A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DF7F3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69A033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82E2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2A1F399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10A01210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24B2382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卡片1·全行营收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D370CA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卡片2·公司条线考核营收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8E2745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卡片3·零售条线考核营收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81E222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卡片4·全行手续费及佣金净收入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2E0CF0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66C82BC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19C3638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华润银行-04-收入结构-2026-08.xlsx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308D39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707B4669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23"/>
        <w:gridCol w:w="608"/>
        <w:gridCol w:w="881"/>
        <w:gridCol w:w="1838"/>
        <w:gridCol w:w="423"/>
        <w:gridCol w:w="793"/>
        <w:gridCol w:w="517"/>
        <w:gridCol w:w="423"/>
        <w:gridCol w:w="427"/>
        <w:gridCol w:w="447"/>
        <w:gridCol w:w="449"/>
        <w:gridCol w:w="608"/>
        <w:gridCol w:w="700"/>
        <w:gridCol w:w="609"/>
      </w:tblGrid>
      <w:tr w14:paraId="57BA9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1D915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6FE581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F6D37B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00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A0745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3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2BAE0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3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B7FE1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28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E84829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464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47645D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当月值</w:t>
            </w:r>
          </w:p>
        </w:tc>
        <w:tc>
          <w:tcPr>
            <w:tcW w:w="489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C9329B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D8AABB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38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89F430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923CE4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40A0B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EABC39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AB95D6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5C3497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B3C514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77ADF6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BCA604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4567E9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B792A5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D523E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环比</w:t>
            </w: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23B051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C7203D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45E1A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8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4A604E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568E0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37F10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DB38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926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收入结构</w:t>
            </w: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97F1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条线营收</w:t>
            </w: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CC25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ACB2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843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15C2C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7BC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9428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568F0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5BCC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EA87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EC92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657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0B62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B4C5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96F0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16E5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C079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公司条线考核营收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A8BC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1B22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9208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0F307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753E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7C0C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5068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1FF2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8711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8F07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7D40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8A32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3A8DF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6F21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4518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其中：公司条线-存款营收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EA9D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6D3E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9195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110B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E411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73F9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EACD0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0CA1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66CE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42F7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D2E6D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7CA7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0E8C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DC43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66E6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公司条线-贷款营收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A0BB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347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323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3B24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B69CE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4020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4F2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B1E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6350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F610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81E18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A9DB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AE5D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0766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D370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零售条线考核营收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FD23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33BF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0805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4858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8F84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7420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01BE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B3FC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4D5B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8EA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EA8F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066D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21F7C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68B80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BB8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其中：零售条线-存款营收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0128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433B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E2B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80F8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721A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89175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076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0E44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AEAF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369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BBAE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F77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522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4ADDB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82A5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零售条线-贷款营收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A66D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45CB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50CB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4C753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504E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9724D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014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BA91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E509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4BDA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83F8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447B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E11F9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2A88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DE6B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金融市场条线考核营收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3885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3AAF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5092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2570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5EF1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BC2CE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D8148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3A38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95D6F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A2FD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CD14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C930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572D4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C58A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E956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司库营收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4E40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A98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BDE6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87EF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A301C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DD6C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517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35BF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73E7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C1D0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A6D4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2A71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DC236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138E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条线利息净收入</w:t>
            </w: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5641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全行利息净收入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C5AC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300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8D1AF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E5CB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B2A60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A8468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9905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8C5E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D519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9BBD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D1358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2CF8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6316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15E4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8448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公司条线利息净收入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AAE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13DE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CEA9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7B25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F8D6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864E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B9DB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38EB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F0F3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4377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ADBD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79DE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330D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A2BDA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E4DE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零售条线利息净收入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2945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2364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4809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8E4F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0C83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020A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EBD44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6D61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2A5C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9A94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7CB02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4AC2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6EA8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6ADD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条线非息净收入</w:t>
            </w: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742D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全行非息收入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8CB1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7C58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DB2C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16AA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9305A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31C6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E807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97C0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F817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078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C152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4293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8E39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62CE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72E5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其中：全行手续费及佣金净收入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ECA50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9843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07CC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B680C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A88E4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A053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C782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9238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D9AF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7941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687E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293A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E062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27B7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363B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公司条线非息收入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7666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E938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5388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E34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BAF0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6433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4BAE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6B12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4E43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88A6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D1587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0642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50C3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F4EC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3A2B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其中：公司条线手续费及佣金净收入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E462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F979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FEE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9239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17F9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2CA9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C292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EC4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831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42A8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BC00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74A9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7580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E519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B409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零售条线非息收入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4FF6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D702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BE8DF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4F8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615BC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B0BF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71A8F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CF5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1C61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FD5F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94BB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258C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403F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09D3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1D2E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其中：零售条线手续费及佣金净收入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517B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3DAB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F10F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0D53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D1D7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46FE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A54D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3AD7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5BF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43D4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F3F3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5941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96F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1615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2046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全行投资收益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66E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734C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85FF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B6CA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DFEC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AD7FC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9048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9E4E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486E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36E7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CB3D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8EF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B723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AF57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C340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其中：金融市场投资收益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31F7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3FD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E89D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F81F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5CC1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B050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D90D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2720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FA0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278D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15F1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18D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21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A84C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67C1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E9A4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61FE5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5BF25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B07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E1020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C8417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01F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69D1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0BBC4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D60E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63D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</w:tbl>
    <w:p w14:paraId="3C78645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368FCBF7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79126075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"D:\\work-2026\\AI-test\\华润-战略部数据应用-LAB\\shots\\bank04.png"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8" o:spt="75" alt="D:\work-2026\AI-test\华润-战略部数据应用-LAB\shots\bank04.png" type="#_x0000_t75" style="height:363.75pt;width:440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0A00E4F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2.1.2.5　05-成本结构　</w:t>
      </w:r>
      <w:r>
        <w:rPr>
          <w:rStyle w:val="253"/>
          <w:b/>
          <w:bCs/>
          <w:shd w:val="clear" w:fill="FFFFFF"/>
        </w:rPr>
        <w:t>18 项指标</w:t>
      </w:r>
    </w:p>
    <w:p w14:paraId="35244B4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85"/>
        <w:gridCol w:w="3721"/>
        <w:gridCol w:w="1175"/>
        <w:gridCol w:w="2865"/>
      </w:tblGrid>
      <w:tr w14:paraId="18A9D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FF9868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79C9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05-成本结构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612447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4DEF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成本结构</w:t>
            </w:r>
          </w:p>
        </w:tc>
      </w:tr>
      <w:tr w14:paraId="1E277F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FED7C2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EB1F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A72736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154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18 行</w:t>
            </w:r>
          </w:p>
        </w:tc>
      </w:tr>
      <w:tr w14:paraId="67ECC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168A1E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EE5F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83B676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5424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 列（含指标名称等结构列）</w:t>
            </w:r>
          </w:p>
        </w:tc>
      </w:tr>
      <w:tr w14:paraId="5247A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9F9878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E7E0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EB397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4ADC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432FAF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6C022DE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4738D63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卡片1·公司条线成本合计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48380D5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卡片2·零售条线成本合计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958316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卡片3·公司条线-EVA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BAF55A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卡片4·零售条线-EVA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845A0E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2449367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05A5EF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华润银行-05-成本结构-2026-08.xlsx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04A750B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54B45A1F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35"/>
        <w:gridCol w:w="947"/>
        <w:gridCol w:w="1760"/>
        <w:gridCol w:w="2501"/>
        <w:gridCol w:w="536"/>
        <w:gridCol w:w="742"/>
        <w:gridCol w:w="588"/>
        <w:gridCol w:w="590"/>
        <w:gridCol w:w="947"/>
      </w:tblGrid>
      <w:tr w14:paraId="1469F9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9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BDBA79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51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E9FDD1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9F153A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36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794A28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9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BA5DE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0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48766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643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A683B5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51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C7C9C7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73A27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9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BE3595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BC7F7B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023DA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E071A0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9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144B82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0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2DDCA8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D260C3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E424DC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17064E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5E6B0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1DF29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51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BEF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成本结构</w:t>
            </w: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CCEF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公司条线成本</w:t>
            </w: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37E7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公司条线成本合计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0229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341D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6376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0C58E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0F78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D2B4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0CD7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0216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1A85F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4EC0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其中：公司条线-运营成本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1A21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C63B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95D1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6966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BF86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D8A58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301F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E35E9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D93A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FC27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公司条线-风险成本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4F41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FA2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CB5F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9535D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D968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DA410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AC60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4637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C49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B443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公司条线-资本成本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16DC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A145A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A65A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80B2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4CEF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AA51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A054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A9D5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5DEF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F233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公司条线-EVA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CB2F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BEF9A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EDB0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A530F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407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D0F8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6610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9C8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C60E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B1C0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公司条线-RAROC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DA3C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AD0D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4F84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DCC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3BAC3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7460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D5BB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522F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5BA2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零售条线成本</w:t>
            </w: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587B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零售条线成本合计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D90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F8C8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FC6FA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AAF4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ADFD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DE9E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9BDD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D1B0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3B9D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B3BB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其中：零售条线-运营成本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A2E1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3610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B056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C47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0E74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158D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FA42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F364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DD6E2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6F6E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零售条线-风险成本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7262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D3B8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7A06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5E59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E3AD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39AB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2DAA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17E5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6D56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38DBA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零售条线-资本成本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7978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9E2F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C283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4EC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B60D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BB99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E507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00806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D46E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CFB9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零售条线-EVA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F599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7BB9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AA8D4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0B3ED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1C27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E31B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79EF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7FF3D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53D5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E730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零售条线-RAROC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AF8F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DFBD6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7E118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4A42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211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73E3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89CC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92AA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29E8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金融市场条线成本</w:t>
            </w: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C176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金融市场条线成本合计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6CCB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50553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A3877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048F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EEC8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23F2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951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B856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52A0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8D7A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其中：金融市场-运营成本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D1E7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F924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2BDC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9672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8BBF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6FFC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BA4D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1975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5FAB8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94D9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金融市场-风险成本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EE02A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A001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A37F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07F1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A948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F4A5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BCA9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A643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5248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AC5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金融市场-资本成本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75BD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10A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9923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770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DCD2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7E47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2CCA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94BAD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DFF4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4083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金融市场-EVA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2DC2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D540A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AC8A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0163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481F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4136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F94DB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55172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23A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C00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金融市场-RAROC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F79D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333F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2A87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566E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9533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</w:tbl>
    <w:p w14:paraId="461BA8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4EDA8B7E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57101A99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"D:\\work-2026\\AI-test\\华润-战略部数据应用-LAB\\shots\\bank05.png"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9" o:spt="75" alt="D:\work-2026\AI-test\华润-战略部数据应用-LAB\shots\bank05.png" type="#_x0000_t75" style="height:323.25pt;width:440pt;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3837325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2.1.2.6　06-存贷结构　</w:t>
      </w:r>
      <w:r>
        <w:rPr>
          <w:rStyle w:val="253"/>
          <w:b/>
          <w:bCs/>
          <w:shd w:val="clear" w:fill="FFFFFF"/>
        </w:rPr>
        <w:t>30 项指标</w:t>
      </w:r>
    </w:p>
    <w:p w14:paraId="4CADE7B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360CD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CA196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317E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06-存贷结构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44278F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CBDA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存贷结构</w:t>
            </w:r>
          </w:p>
        </w:tc>
      </w:tr>
      <w:tr w14:paraId="648B2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F9991C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9306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D98C62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BEB0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30 行</w:t>
            </w:r>
          </w:p>
        </w:tc>
      </w:tr>
      <w:tr w14:paraId="7263F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858878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7632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B8E3C9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B00B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 列（含指标名称等结构列）</w:t>
            </w:r>
          </w:p>
        </w:tc>
      </w:tr>
      <w:tr w14:paraId="5FA75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FE3F1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CFA6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20D493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A98E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649484C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597DC2D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596A842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卡片1·存款余额（全行）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881D5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卡片2·个人AUM月日均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2F47B4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卡片3·存款年日均（全行）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9FDE35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卡片4·公司-贷款余额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7EA4FA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5C2879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44F799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华润银行-06-存贷结构-2026-08.xlsx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35D1C81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69446B77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24"/>
        <w:gridCol w:w="612"/>
        <w:gridCol w:w="768"/>
        <w:gridCol w:w="2019"/>
        <w:gridCol w:w="425"/>
        <w:gridCol w:w="1077"/>
        <w:gridCol w:w="518"/>
        <w:gridCol w:w="425"/>
        <w:gridCol w:w="425"/>
        <w:gridCol w:w="524"/>
        <w:gridCol w:w="612"/>
        <w:gridCol w:w="705"/>
        <w:gridCol w:w="612"/>
      </w:tblGrid>
      <w:tr w14:paraId="6AD40A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548BC8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345EA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21C5D1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10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4C033B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ADBD26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58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96417C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28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B2965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750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A28D7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1857DE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38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70602B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C78EAE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25DA8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9ABE7C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E0EE32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FCD0D3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CF4D2E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FFF553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8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61327B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8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E22536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3DA0DD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BA3001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F2FF94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54735B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5F5C03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FC0A53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11B67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2E7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FD7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存贷结构</w:t>
            </w: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B79C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存款余额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425E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存款余额（全行）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FCEF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27E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6704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C9AF1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5ACE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D997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9B50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C640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75A9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E28A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F9C5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0B1E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C157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ED16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公司低成本存款余额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A915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8555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3A97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E4E88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134F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7E653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85BD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2712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CB0D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02B7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3975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A2E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DEE5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C4C8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公司定期存款余额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634D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763E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2526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DDB6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A57A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7D51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7BF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C20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B148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0110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7CDE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E097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305A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198B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个人低成本存款余额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4AEA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630F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0F15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55BB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6BC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D1C4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9575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2CC4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7EF5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D56D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2F15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A937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7DA5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7B8E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个人定期存款余额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A5E0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2906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484A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77D0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96D9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55A0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39B3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E13D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5A0D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01D9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D4128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CA18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E285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AUM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848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个人AUM月日均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A871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81E0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34E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6E4B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0951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F3DB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A1EF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CDF1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856F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113A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84EA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8F4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050D6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9736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其中：个人非存AUM月日均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C01F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83AC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ED21E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AE5F7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AE47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8832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D789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EC2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8B7E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D1CD6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C63C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AAD6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959C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ED25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代发客户AUM月日均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CAD2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90A6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1F0C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729EA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0EB53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D766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BD2B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3F4D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3B2C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12D8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0CB55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BC1C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DCC5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存款年日均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0BD7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存款年日均（全行）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DA92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CEE5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4826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A2F64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7AA38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240E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4DF0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7407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1496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BA2D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263B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B771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D155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3F09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其中：低成本存款年日均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51BF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42B5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37FD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2851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4A03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61F68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3E59A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118B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17CB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B5B8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2B02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ABEA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128A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162A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低成本存款占比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4E8E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468B3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CD83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BDFA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F3D8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8ACCE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1918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3E56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DD5F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1B08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9783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7AA64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B934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2709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产融协同低成本存款年日均余额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E11A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912F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B63F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3364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99C6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FAA6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E860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E9CA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9CBE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403F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923D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2115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1844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A81F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0DDA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3156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6B55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7DBB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2026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D328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29C9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54AC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2CB7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0546C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6D7E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58064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47F16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2873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公司低成本存款年日均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BF50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F107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255E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DD29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7BE9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D0E1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91A2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69D1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C449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58A6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31F1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0215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939FE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84C6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459E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38BF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263B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B563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5F70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4964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55C4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BE35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687B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2724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A17D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8FE4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0ACC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594D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个人低成本存款年日均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FF7C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F9DFB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F9AC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D313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2635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536A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8016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A699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6D7F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F637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5DDB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8893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0C7D3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贷款余额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C82E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3342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B1F6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C25ED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7B1B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DF28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3A36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FC64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7C02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F801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C19D1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0144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84B26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EEFE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958A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公司-房地产贷款余额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4088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FD06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D3F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2D45D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230D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BE349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DE9B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77F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0A69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FA64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CF3B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69AD9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4B0B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E09E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公司-贸易融资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F6E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C355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3A62C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C174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97A9F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6FBF1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C36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4D685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C1E5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C2BD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EB19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CCE1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7200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63DF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公司-中小企业贷款余额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DF02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3DF34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0240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85B6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A222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FE4F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E7B8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A726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720C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CAEE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2F49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21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9E99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69C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1C74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公司-科技企业客群净增余额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CB7F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0009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DFFC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523F4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D8161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4B91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53D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2311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97CB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2FD0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53C2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22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34019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DFB9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70D1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绿色金融余额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E66C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46A6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92AA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B064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15D01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2333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4430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DD76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C11C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D465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8910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23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9DBF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DF06D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6E25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产业金融余额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A4A5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67A7E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FBBB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1A146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8E65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859C0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9411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9A5C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9154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2820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B52D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24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3A3D7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205BA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1077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个人-贷款余额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12E6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A5E8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467BB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FD920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16135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C7A68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9CAC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E5FB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400C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3D44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98F2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25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C653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A58F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C09C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个人抵押贷余额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BD1A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6DC60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5BE9D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78216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11D0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AFDD6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6319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7B3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4F31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5B8B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722E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26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397F9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66B9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E73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个人按揭贷余额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FA9A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77A3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8A87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06AD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9DE0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BA5D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8641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3E9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296F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616B7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3AB56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27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408A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3949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018C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个人信用贷余额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C420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A319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16A7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51F0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13D6D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D14B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84D4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46CD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1AA2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CEFE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A2925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28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CB14A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0227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D3E1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其中：润薪贷、AUM贷、财富贷、车位贷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AD0A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CEE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DE278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F4CC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E5FB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46F0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5000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448B1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45FA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F8E4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EBE6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29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08B4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C321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B07B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个人平台贷余额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8876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A395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6A13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30B6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41C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9577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B866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A5F9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7EB76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DC5B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C1C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30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CC23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4292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2551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贴现余额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2753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4B23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942E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6DBFE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4AE5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F60E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8571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2DAB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7AB1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1E8C61E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4313E3C5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4F05B87D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"D:\\work-2026\\AI-test\\华润-战略部数据应用-LAB\\shots\\bank06.png"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0" o:spt="75" alt="D:\work-2026\AI-test\华润-战略部数据应用-LAB\shots\bank06.png" type="#_x0000_t75" style="height:475.5pt;width:440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399F48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2.1.2.7　07-利率结构　</w:t>
      </w:r>
      <w:r>
        <w:rPr>
          <w:rStyle w:val="253"/>
          <w:b/>
          <w:bCs/>
          <w:shd w:val="clear" w:fill="FFFFFF"/>
        </w:rPr>
        <w:t>15 项指标</w:t>
      </w:r>
    </w:p>
    <w:p w14:paraId="303C32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85"/>
        <w:gridCol w:w="3721"/>
        <w:gridCol w:w="1175"/>
        <w:gridCol w:w="2865"/>
      </w:tblGrid>
      <w:tr w14:paraId="6FB9C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13DD33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7B0F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07-利率结构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B218BE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8B90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利率结构</w:t>
            </w:r>
          </w:p>
        </w:tc>
      </w:tr>
      <w:tr w14:paraId="50701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FC0413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B409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EBE2D4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6006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 行</w:t>
            </w:r>
          </w:p>
        </w:tc>
      </w:tr>
      <w:tr w14:paraId="4B203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B36CC8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A3CC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604B5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6CEF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 列（含指标名称等结构列）</w:t>
            </w:r>
          </w:p>
        </w:tc>
      </w:tr>
      <w:tr w14:paraId="4BC99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61D1F8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388A5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2C0572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7705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789ABE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66F0DECC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5C335F8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卡片1·生息资产收益率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0408D4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卡片2·付息负债付息率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358B76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卡片3·存贷利差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4BFE92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卡片4·净息差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4761C0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76DB991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316C2CB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华润银行-07-利率结构-2026-08.xlsx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7FBCAED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6EED5452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63"/>
        <w:gridCol w:w="1017"/>
        <w:gridCol w:w="1018"/>
        <w:gridCol w:w="2253"/>
        <w:gridCol w:w="564"/>
        <w:gridCol w:w="791"/>
        <w:gridCol w:w="564"/>
        <w:gridCol w:w="564"/>
        <w:gridCol w:w="794"/>
        <w:gridCol w:w="1018"/>
      </w:tblGrid>
      <w:tr w14:paraId="0346C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0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D8DD43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9A7565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EB3EB5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23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6A05E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30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31ACD2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FE4243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1050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888BB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B654C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7CC8D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0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47C033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C4D909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BB5A7C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C5A90B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A68B4F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356E9A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4091F9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E6CA0A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7701DE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0B3DFE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121E5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BCFB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4674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利率结构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22EF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资产</w:t>
            </w: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B06F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056C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6B59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D45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28581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3B4E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5F01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DFAA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4A8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6D08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D9A7A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02AD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贷款对客收益率-对公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B55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0F60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5980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49751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D848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7DD3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E4BF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619B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DBB60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E8D3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3983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贷款对客收益率-个人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E2CF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498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751A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5480A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F5C9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2CBA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BE56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3434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E527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244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A7B8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贷款对客收益率-贴现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B29D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76566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F7F6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1A815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ED9D4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3BB8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78100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6E13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DA18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F45F0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7F4F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债券投资收益率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2C3F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DDCA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3621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FC24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E88A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D870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FB85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D755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940B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8E0D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2E39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同业资产收益率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274E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3887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6EB8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1A87A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6D2F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2FB5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A023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2D3C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1639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47F9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F6E4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生息资产收益率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8F89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40EB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6007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CA4E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1DB0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7C25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63DC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D43C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B1F2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162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负债</w:t>
            </w: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646D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存款对客付息率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1A6B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62F5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C5CB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89B98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7922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B035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F646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A77A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C46F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2953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4999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存款对客付息率-公司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27B1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2AB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A204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CF757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E7D2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2354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842B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1447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7F5F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C0C6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2DBF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存款对客付息率-个人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481B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267EF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47C0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F458A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1E7F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D06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ABC5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6C56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5A74E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D73C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179D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应付债券付息率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0E672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6BE5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A844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76AF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6691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BDEE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ADBAB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A257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FBAD6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CEFC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6E75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同业负债付息率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3F8B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6850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C942C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920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A395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BE1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8D56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F196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F38B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5B30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3A74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付息负债付息率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C02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A73D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E7FA1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38B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A96FD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C060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B8E0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EEEC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8A429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AC5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</w:t>
            </w: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FCB2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存贷利差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7A4F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5324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586F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57C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3201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67D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7B9F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1CC1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E2D0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032E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4532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净息差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D687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B0D6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5876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19DE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404A6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C2EC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1638C1B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5DCAF8EA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620176F8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"D:\\work-2026\\AI-test\\华润-战略部数据应用-LAB\\shots\\bank07.png"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1" o:spt="75" alt="D:\work-2026\AI-test\华润-战略部数据应用-LAB\shots\bank07.png" type="#_x0000_t75" style="height:297.75pt;width:440pt;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E8D8E2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2.1.2.8　08-客群结构　</w:t>
      </w:r>
      <w:r>
        <w:rPr>
          <w:rStyle w:val="253"/>
          <w:b/>
          <w:bCs/>
          <w:shd w:val="clear" w:fill="FFFFFF"/>
        </w:rPr>
        <w:t>14 项指标</w:t>
      </w:r>
    </w:p>
    <w:p w14:paraId="461F925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06ED8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F0BB54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5769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08-客群结构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97BA79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C764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客群结构</w:t>
            </w:r>
          </w:p>
        </w:tc>
      </w:tr>
      <w:tr w14:paraId="0EE51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43BFE8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469D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8711B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A2CD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 行</w:t>
            </w:r>
          </w:p>
        </w:tc>
      </w:tr>
      <w:tr w14:paraId="438D5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48DE18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601A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1CF64E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2919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 列（含指标名称等结构列）</w:t>
            </w:r>
          </w:p>
        </w:tc>
      </w:tr>
      <w:tr w14:paraId="35CE5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9BA2AF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708B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7D4542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F22D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32E49D7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5A1E6745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43AA5B6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卡片1·公司有效授信客户数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FC53B7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卡片2·基石客户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10416A8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卡片3·零售客户数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（单位：万户）、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3B42E5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卡片4·代发客户数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EE652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4CC972A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5EE6ECAD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华润银行-08-客群结构-2026-08.xlsx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1B90A69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2E622510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1"/>
        <w:gridCol w:w="661"/>
        <w:gridCol w:w="661"/>
        <w:gridCol w:w="1646"/>
        <w:gridCol w:w="441"/>
        <w:gridCol w:w="1209"/>
        <w:gridCol w:w="551"/>
        <w:gridCol w:w="441"/>
        <w:gridCol w:w="441"/>
        <w:gridCol w:w="555"/>
        <w:gridCol w:w="661"/>
        <w:gridCol w:w="774"/>
        <w:gridCol w:w="664"/>
      </w:tblGrid>
      <w:tr w14:paraId="18873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CCE7F5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D50C76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30A2B8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89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A70E06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4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A764C8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660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57A670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30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2ADF2C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785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1D917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482F1B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42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1C1B70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25E1E2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3E875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CFAB9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F80FB6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F427CA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7DDDAF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C61DF8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660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9FBACC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EDF9FA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04DE7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064786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FE1E64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A9B700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C121E5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657208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5A27C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68E53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32F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客群结构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6B17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公司客群</w:t>
            </w: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935B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公司有效客户数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BBBF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BAD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1A68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E211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EAB73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54D3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1EF7C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C97A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43C4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C7B86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0FDC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35D2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16F4F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58B8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新增有效客户数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AB61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F58A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178F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A6E2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1A11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AF50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A689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EBB0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A32C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EFB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77B7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80DA4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FFFC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DA4D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公司有效授信客户数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128D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FD0B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9551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0099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F447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DFB88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A16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1B0C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49E9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AB48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8FF0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E044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A4B1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B8DA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其中：大中有效授信客户数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C21D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38C1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11F65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EAA0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4092D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B403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7E5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646C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FE03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0AC3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4DBB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8951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5B55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712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中小有效授信客户数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B2AD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7D58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CA294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4A30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2C83C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AECC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2EF2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DBED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31A6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3D663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C366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9DB7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4607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7E9C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基石客户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EE9F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1F9C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5A24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FAA6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52E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B0E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F4F6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8419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DF3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9A58B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00DE4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6721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30A2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078A0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产融协同客户数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A000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5B9E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3C6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8D6B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778B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A0E1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86A7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4FB8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B2AA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7FF0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B8B0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4BA0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A754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零售客群</w:t>
            </w: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B87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2C5A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C9B63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2B7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FDE1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A541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9833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C61E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2679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B93D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8DAD0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FA88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F5D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9C408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1EB7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零售中高端客户数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5157A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621F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1076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B87D5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1ECFD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95C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0464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3C453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E7B4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0683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E5F9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5D98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CC6C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0A93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代发客户数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3E9A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C4A5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C34F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3ED8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1CF1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EB2F4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E34D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7EAB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B3DB0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8737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FF9D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B20E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F6D3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C6EB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零售高净值客户数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3461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9A7B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BA697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480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9577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6D335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EDEA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E86E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26A7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4AC2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D020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F2AA6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160F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</w:t>
            </w: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B4D2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手机银行客户数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6F4D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419C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911ED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50540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9614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2B96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4263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9E2D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6001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A97A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3E5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52C3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EFF3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0E85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润E企用户数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66A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34DC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4B5A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29BD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5C53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F3B7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0F5C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A298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EE5D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43DD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AAC8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7D0A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B9832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85D7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现金管理客户数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23E5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8060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EB0C4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D1E86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DAFE7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3437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53EB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6403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772D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52AD33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15E8B38D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38B0FA31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"D:\\work-2026\\AI-test\\华润-战略部数据应用-LAB\\shots\\bank08.png"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2" o:spt="75" alt="D:\work-2026\AI-test\华润-战略部数据应用-LAB\shots\bank08.png" type="#_x0000_t75" style="height:294pt;width:440pt;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3291C5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2.1.2.9　09-风险情况　</w:t>
      </w:r>
      <w:r>
        <w:rPr>
          <w:rStyle w:val="253"/>
          <w:b/>
          <w:bCs/>
          <w:shd w:val="clear" w:fill="FFFFFF"/>
        </w:rPr>
        <w:t>15 项指标</w:t>
      </w:r>
    </w:p>
    <w:p w14:paraId="1BF781A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242C3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920F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68D5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09-风险情况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39116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E138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风险情况</w:t>
            </w:r>
          </w:p>
        </w:tc>
      </w:tr>
      <w:tr w14:paraId="5E262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FE6B36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FF67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642CA6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65EF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 行</w:t>
            </w:r>
          </w:p>
        </w:tc>
      </w:tr>
      <w:tr w14:paraId="44351C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F94A6B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41167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790293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DEEF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 列（含指标名称等结构列）</w:t>
            </w:r>
          </w:p>
        </w:tc>
      </w:tr>
      <w:tr w14:paraId="12CFF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7ACEDB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3050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F2CD96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6E2D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面板右上角「📥 导出」按钮</w:t>
            </w:r>
          </w:p>
        </w:tc>
      </w:tr>
    </w:tbl>
    <w:p w14:paraId="35EE89F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72AC5CE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381E07D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卡片1·不良贷款率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86EB9A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卡片2·个贷不良率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85CE7C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卡片3·拨备覆盖率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77D7BC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卡片4·不良资产处置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9C338F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5245D59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36B9642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华润银行-09-风险情况-2026-08.xlsx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60E0B6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7947B9B3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5"/>
          <w:rFonts w:hint="eastAsia" w:ascii="宋体" w:hAnsi="宋体" w:eastAsia="宋体" w:cs="宋体"/>
        </w:rPr>
        <w:t>×</w:t>
      </w:r>
      <w:r>
        <w:rPr>
          <w:rFonts w:hint="eastAsia" w:ascii="宋体" w:hAnsi="宋体" w:eastAsia="宋体" w:cs="宋体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77"/>
        <w:gridCol w:w="774"/>
        <w:gridCol w:w="1655"/>
        <w:gridCol w:w="480"/>
        <w:gridCol w:w="1069"/>
        <w:gridCol w:w="626"/>
        <w:gridCol w:w="480"/>
        <w:gridCol w:w="480"/>
        <w:gridCol w:w="632"/>
        <w:gridCol w:w="775"/>
        <w:gridCol w:w="923"/>
        <w:gridCol w:w="775"/>
      </w:tblGrid>
      <w:tr w14:paraId="654C7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</w:tblPrEx>
        <w:trPr>
          <w:cantSplit/>
          <w:tblHeader/>
        </w:trPr>
        <w:tc>
          <w:tcPr>
            <w:tcW w:w="2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A685B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bookmarkStart w:id="9" w:name="_GoBack"/>
            <w:bookmarkEnd w:id="9"/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B50E58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9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656A8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64C551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58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D9ED3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34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460547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869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32F98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BDDA74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5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182CA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0161B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4D8EE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891B49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B96761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A21C1A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53D05D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8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DD284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84EEF6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914587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06D572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3EB9A6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09E19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0984D3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75CFD5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6EFF5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C868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C45E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风险情况</w:t>
            </w: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C961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正常类贷款余额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6158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21A5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D3E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A733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AB36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3AA36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40BB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F026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D57A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1AEA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F895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04B1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8B4F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关注类贷款余额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F97C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36218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C9AE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EEC68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55B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04A9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55EF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4C7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6F6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8C2C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88AC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C91C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224B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次级类贷款余额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3A52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2C4BC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6FEB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B92B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5ED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693BF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43D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FF804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7BD3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3519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77B1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61FB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1241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可疑类贷款余额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67BC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078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C75FC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8312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D663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F291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5314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98B4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6394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C855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63A9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FD648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E0F0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损失类贷款余额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3F238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65A9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2E03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DC3D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A625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5CB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D250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8A74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2B18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9CA2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C232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A804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1E7E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信用减值损失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10AE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4214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8DBA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F5574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9A53F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61B64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C5CF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36B3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52FF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E8EEF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6E4E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0F81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3A8B0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公司贷款信用损失准备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B6EC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92BC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6322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10B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629A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E64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9D34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97CDE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A158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C381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A5DD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D31C4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3CD1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零售贷款信用损失准备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7FE6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C250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D0E3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E6DD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99EC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5F893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1BA6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3397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B058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2041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CC86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E1AC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75E4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不良资产率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A3CE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8468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591EF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3AC4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FB52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69BA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4C76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1E2C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851D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4577D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D00F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FEFE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0C38C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不良贷款率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FF41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6FF4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13051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4BDF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AC3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328B9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27B5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4E85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175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7B55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D911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DB90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91EA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个贷不良率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4D1D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A92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13AD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02B96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3714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E212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9F1B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FA3B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7558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54EB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C31A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B39D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3492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小额不良生成率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1ECC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43A7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BF27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8A20B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DE4F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C249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267A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1D1E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44B8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7152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8C66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8DF1B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1C79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不良资产处置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A9C9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B141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7AC5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26D6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AE93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752C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C17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50EEF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4B7C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5CB7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80D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C034D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D18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拨备覆盖率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7BA7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B732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0CE7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1F1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C21A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EA19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881A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AB1D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A640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881A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8FB2B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AFCE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1030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对公新增风险管控额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9D5D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4F11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AB706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E310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4FBF7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169F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2D84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D4A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5"/>
                <w:rFonts w:hint="eastAsia" w:ascii="宋体" w:hAnsi="宋体" w:eastAsia="宋体" w:cs="宋体"/>
                <w:sz w:val="18"/>
                <w:szCs w:val="24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ECEFF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117EDAA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391A461A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37F1682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"D:\\work-2026\\AI-test\\华润-战略部数据应用-LAB\\shots\\bank09.png"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3" o:spt="75" alt="D:\work-2026\AI-test\华润-战略部数据应用-LAB\shots\bank09.png" type="#_x0000_t75" style="height:305.25pt;width:440pt;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4470C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6" w:name="_Toc24151"/>
      <w:r>
        <w:rPr>
          <w:shd w:val="clear" w:fill="FFFFFF"/>
        </w:rPr>
        <w:t>2.2　报表台账管理需求说明</w:t>
      </w:r>
      <w:bookmarkEnd w:id="6"/>
    </w:p>
    <w:p w14:paraId="4AC34908">
      <w:pPr>
        <w:pStyle w:val="70"/>
        <w:keepNext w:val="0"/>
        <w:keepLines w:val="0"/>
        <w:widowControl/>
        <w:suppressLineNumbers w:val="0"/>
        <w:spacing w:before="80" w:beforeAutospacing="0" w:after="80" w:afterAutospacing="0" w:line="23" w:lineRule="atLeast"/>
        <w:ind w:left="0" w:right="0"/>
      </w:pPr>
      <w:r>
        <w:rPr>
          <w:rFonts w:hint="eastAsia" w:ascii="宋体" w:hAnsi="宋体" w:eastAsia="宋体" w:cs="宋体"/>
          <w:sz w:val="24"/>
          <w:szCs w:val="24"/>
          <w:shd w:val="clear" w:fill="FFFFFF"/>
        </w:rPr>
        <w:t>本节约定平台「报表台账管理」一级菜单下华润银行 9 张报表台账的页面结构、取数与展示规则。台账与固定报表同源取数，按年度横向展开各月末值，供业务逐年回溯核对。</w:t>
      </w:r>
    </w:p>
    <w:p w14:paraId="3985B6C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2.2.1　模块定位与入口</w:t>
      </w:r>
    </w:p>
    <w:p w14:paraId="1DBCE93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菜单层级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：「报表台账管理」为一级菜单，与「固定报表管理」同级；结构为 报表台账管理 → 公司分组（华润银行）→ 各报表台账，菜单名 = 报表名称 +「台账」（如「01-资产负债简表台账」）。</w:t>
      </w:r>
    </w:p>
    <w:p w14:paraId="2CDAD1C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：台账菜单采用金色主题；一级菜单固定展开、不可收起（与固定报表管理一致）。</w:t>
      </w:r>
    </w:p>
    <w:p w14:paraId="14FBB4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2.2.2　台账页面结构</w:t>
      </w:r>
    </w:p>
    <w:p w14:paraId="7686D88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台账头部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：面板标题为「报表名称 · 年度台账」；右侧为更新频率块、📅 数据年度下拉、「📥 导出」按钮。</w:t>
      </w:r>
    </w:p>
    <w:p w14:paraId="6567C3E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台账表格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单级表头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 = 结构列（序号、指标分类、指标分项、指标名称、单位；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不显示指标属性标签列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）+ 各月「N月末」/各季「QN」单列；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不设同比列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1B3832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结构列合并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：指标分类/指标分项沿用固定报表的 rowspan 纵向合并规则（仅保留结构列内的合并）。</w:t>
      </w:r>
    </w:p>
    <w:p w14:paraId="0C99DE9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2.2.3　台账取数与展示规则</w:t>
      </w:r>
    </w:p>
    <w:p w14:paraId="6380E99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取数列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：取固定报表「截止本月末-实际」列（季度表为「截止本季末-实际」）作为各月末台账值；与固定报表同源取数（hideCols 隐藏列规则复用）。</w:t>
      </w:r>
    </w:p>
    <w:p w14:paraId="26DC5AE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年度范围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：可选范围 2024 ～ 当前年度，默认选中当前年度。</w:t>
      </w:r>
    </w:p>
    <w:p w14:paraId="3980961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月度报表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：默认选中日历上月（有数据）；若当前为 1 月，则默认选中上一年 12 月（年份随之联动为上一年）。</w:t>
      </w:r>
    </w:p>
    <w:p w14:paraId="4D416B1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季度报表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：默认选中上一个已完结季度；若当前在 1~3 月，上一个已完结季度为上一年 Q4。</w:t>
      </w:r>
    </w:p>
    <w:p w14:paraId="6A47578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缺数口径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：台账口径下所有指标均应有月末值；仅个别月份未取到数（源值空、-、非数值）→ 统一 </w:t>
      </w:r>
      <w:r>
        <w:rPr>
          <w:rStyle w:val="18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不用 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6BB6A1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2.2.4　台账查询与导出</w:t>
      </w:r>
    </w:p>
    <w:p w14:paraId="2B3B95D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年度查询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：仅年度下拉（无月份）；切换年度仅重渲染当前台账面板，toast 提示「已加载 YYYY 年 1—M 月台账 · 报表标题」。</w:t>
      </w:r>
    </w:p>
    <w:p w14:paraId="758E873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：台账头部「📥 导出」按钮导出当前年度台账表（演示占位，正式环境对接导出接口）。</w:t>
      </w:r>
    </w:p>
    <w:p w14:paraId="53F0FBC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：导出表头与数据展示保持和系统页面一致（结构列 + 各月「N月末」/各季「QN」单列，不含同比列与指标属性标签列）；</w:t>
      </w:r>
    </w:p>
    <w:p w14:paraId="42CCA5A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「华润银行-报表名称台账-数据年度年.xlsx」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；数据年度为当前所选台账年度（如 </w:t>
      </w:r>
      <w:r>
        <w:rPr>
          <w:rStyle w:val="254"/>
          <w:rFonts w:hint="eastAsia" w:ascii="宋体" w:hAnsi="宋体" w:eastAsia="宋体" w:cs="宋体"/>
          <w:sz w:val="24"/>
          <w:szCs w:val="24"/>
        </w:rPr>
        <w:t>华润银行-01-资产负债简表台账-2026年.xlsx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27303B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2.2.5　系统原型示意图</w:t>
      </w:r>
    </w:p>
    <w:p w14:paraId="2FE854E0">
      <w:pPr>
        <w:pStyle w:val="2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</w:rPr>
        <w:t>以下截图取自</w:t>
      </w:r>
      <w:r>
        <w:rPr>
          <w:rFonts w:hint="eastAsia" w:ascii="宋体" w:hAnsi="宋体" w:eastAsia="宋体" w:cs="宋体"/>
          <w:b/>
          <w:bCs/>
        </w:rPr>
        <w:t>当前系统页面实机界面</w:t>
      </w:r>
      <w:r>
        <w:rPr>
          <w:rFonts w:hint="eastAsia" w:ascii="宋体" w:hAnsi="宋体" w:eastAsia="宋体" w:cs="宋体"/>
        </w:rPr>
        <w:t>（演示数据；下拉、按钮等控件为页面原样，Word 内不可交互）。</w:t>
      </w:r>
    </w:p>
    <w:p w14:paraId="6FAF249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01-资产负债简表台账</w:t>
      </w:r>
    </w:p>
    <w:p w14:paraId="265EEBD6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"D:\\work-2026\\AI-test\\华润-战略部数据应用-LAB\\shots\\bank_led01.png"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4" o:spt="75" alt="D:\work-2026\AI-test\华润-战略部数据应用-LAB\shots\bank_led01.png" type="#_x0000_t75" style="height:291.75pt;width:440pt;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93ED96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02-损益表简表台账</w:t>
      </w:r>
    </w:p>
    <w:p w14:paraId="3BCDC63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"D:\\work-2026\\AI-test\\华润-战略部数据应用-LAB\\shots\\bank_led02.png"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5" o:spt="75" alt="D:\work-2026\AI-test\华润-战略部数据应用-LAB\shots\bank_led02.png" type="#_x0000_t75" style="height:291.75pt;width:440pt;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62021E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03-关键监测指标台账</w:t>
      </w:r>
    </w:p>
    <w:p w14:paraId="2B3B2CEC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"D:\\work-2026\\AI-test\\华润-战略部数据应用-LAB\\shots\\bank_led03.png"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6" o:spt="75" alt="D:\work-2026\AI-test\华润-战略部数据应用-LAB\shots\bank_led03.png" type="#_x0000_t75" style="height:291.75pt;width:440pt;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A86EE0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04-收入结构台账</w:t>
      </w:r>
    </w:p>
    <w:p w14:paraId="239C64BF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"D:\\work-2026\\AI-test\\华润-战略部数据应用-LAB\\shots\\bank_led04.png"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7" o:spt="75" alt="D:\work-2026\AI-test\华润-战略部数据应用-LAB\shots\bank_led04.png" type="#_x0000_t75" style="height:291.75pt;width:440pt;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72EB8B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05-成本结构台账</w:t>
      </w:r>
    </w:p>
    <w:p w14:paraId="52412ABC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"D:\\work-2026\\AI-test\\华润-战略部数据应用-LAB\\shots\\bank_led05.png"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8" o:spt="75" alt="D:\work-2026\AI-test\华润-战略部数据应用-LAB\shots\bank_led05.png" type="#_x0000_t75" style="height:291.75pt;width:440pt;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00DB8CB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06-存贷结构台账</w:t>
      </w:r>
    </w:p>
    <w:p w14:paraId="05734646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"D:\\work-2026\\AI-test\\华润-战略部数据应用-LAB\\shots\\bank_led06.png"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9" o:spt="75" alt="D:\work-2026\AI-test\华润-战略部数据应用-LAB\shots\bank_led06.png" type="#_x0000_t75" style="height:386.25pt;width:440pt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80620A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07-利率结构台账</w:t>
      </w:r>
    </w:p>
    <w:p w14:paraId="5CE84BC7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"D:\\work-2026\\AI-test\\华润-战略部数据应用-LAB\\shots\\bank_led07.png"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40" o:spt="75" alt="D:\work-2026\AI-test\华润-战略部数据应用-LAB\shots\bank_led07.png" type="#_x0000_t75" style="height:291.75pt;width:440pt;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1A1472B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08-客群结构台账</w:t>
      </w:r>
    </w:p>
    <w:p w14:paraId="2E4864BF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"D:\\work-2026\\AI-test\\华润-战略部数据应用-LAB\\shots\\bank_led08.png"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41" o:spt="75" alt="D:\work-2026\AI-test\华润-战略部数据应用-LAB\shots\bank_led08.png" type="#_x0000_t75" style="height:291.75pt;width:440pt;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399ABD2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09-风险情况台账</w:t>
      </w:r>
    </w:p>
    <w:p w14:paraId="29A7482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"D:\\work-2026\\AI-test\\华润-战略部数据应用-LAB\\shots\\bank_led09.png"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42" o:spt="75" alt="D:\work-2026\AI-test\华润-战略部数据应用-LAB\shots\bank_led09.png" type="#_x0000_t75" style="height:291.75pt;width:440pt;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FA24D7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7" w:name="_Toc19785"/>
      <w:r>
        <w:rPr>
          <w:shd w:val="clear" w:fill="FFFFFF"/>
        </w:rPr>
        <w:t>三、权限说明</w:t>
      </w:r>
      <w:bookmarkEnd w:id="7"/>
    </w:p>
    <w:p w14:paraId="20DCF6F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：华润银行报表挂接于平台「数据应用 → 固定报表管理」菜单下，其对应报表台账挂接于一级菜单「报表台账管理」下（与固定报表管理同级，结构为 报表台账管理 → 公司分组 → 各报表台账）；两者查看权限均遵循平台统一的角色-菜单权限管理，用户获授「固定报表管理 → 华润银行」「报表台账管理 → 华润银行」菜单权限后方可进入查看。为全体战略部人员开放固定报表管理与报表台账管理模块权限。</w:t>
      </w:r>
    </w:p>
    <w:p w14:paraId="5E4FF78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数据范围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：报表数据为华润银行全量指标体系范围，暂不划分数据范围。</w:t>
      </w:r>
    </w:p>
    <w:p w14:paraId="67B48FC1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功能权限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：支持战略部全体人员筛选和导出功能。</w:t>
      </w:r>
    </w:p>
    <w:p w14:paraId="4C1F456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维护权限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：全年预算等报送类数据由业务人员在通用报送平台维护，本模块只读展示，不提供数据维护入口。</w:t>
      </w:r>
    </w:p>
    <w:p w14:paraId="2B097EC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8" w:name="_Toc32541"/>
      <w:r>
        <w:rPr>
          <w:shd w:val="clear" w:fill="FFFFFF"/>
        </w:rPr>
        <w:t>四、业务确认</w:t>
      </w:r>
      <w:bookmarkEnd w:id="8"/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110"/>
        <w:gridCol w:w="2536"/>
        <w:gridCol w:w="1971"/>
        <w:gridCol w:w="1686"/>
        <w:gridCol w:w="993"/>
      </w:tblGrid>
      <w:tr w14:paraId="12341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1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DBE8DD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确认角色</w:t>
            </w:r>
          </w:p>
        </w:tc>
        <w:tc>
          <w:tcPr>
            <w:tcW w:w="137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FBBD0B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公司-部门</w:t>
            </w:r>
          </w:p>
        </w:tc>
        <w:tc>
          <w:tcPr>
            <w:tcW w:w="106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7162D8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确认人（签字）</w:t>
            </w:r>
          </w:p>
        </w:tc>
        <w:tc>
          <w:tcPr>
            <w:tcW w:w="91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5949C6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日期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75ECED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确认意见</w:t>
            </w:r>
          </w:p>
        </w:tc>
      </w:tr>
      <w:tr w14:paraId="7291FB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14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F5D04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需求提出负责人</w:t>
            </w:r>
          </w:p>
        </w:tc>
        <w:tc>
          <w:tcPr>
            <w:tcW w:w="137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AE3358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3E2D60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DB31F5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DE6853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0B4BB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14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59F6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需求开发负责人</w:t>
            </w:r>
          </w:p>
        </w:tc>
        <w:tc>
          <w:tcPr>
            <w:tcW w:w="137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5C672E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D3FD3F3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6366DD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758A80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501C89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142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D5B61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需求设计负责人</w:t>
            </w:r>
          </w:p>
        </w:tc>
        <w:tc>
          <w:tcPr>
            <w:tcW w:w="1371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D8550F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1067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F8F8FB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1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08B8E36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504" w:type="pct"/>
            <w:tcBorders>
              <w:top w:val="single" w:color="DDE3EC" w:sz="6" w:space="0"/>
              <w:left w:val="single" w:color="DDE3EC" w:sz="6" w:space="0"/>
              <w:bottom w:val="single" w:color="DDE3EC" w:sz="6" w:space="0"/>
              <w:right w:val="single" w:color="DDE3EC" w:sz="6" w:space="0"/>
            </w:tcBorders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0D65E3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</w:tbl>
    <w:p w14:paraId="52542E84">
      <w:pPr>
        <w:pStyle w:val="13"/>
        <w:keepNext w:val="0"/>
        <w:keepLines w:val="0"/>
        <w:widowControl/>
        <w:suppressLineNumbers w:val="0"/>
        <w:spacing w:before="480" w:beforeAutospacing="0" w:after="0" w:afterAutospacing="0" w:line="23" w:lineRule="atLeast"/>
        <w:ind w:left="0" w:right="0"/>
        <w:jc w:val="center"/>
        <w:rPr>
          <w:color w:val="404040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800" w:footer="90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182A2">
    <w:pPr>
      <w:pStyle w:val="9"/>
      <w:jc w:val="center"/>
      <w:rPr>
        <w:rFonts w:hint="eastAsia" w:eastAsiaTheme="minorEastAsia"/>
        <w:sz w:val="18"/>
        <w:lang w:eastAsia="zh-CN"/>
      </w:rPr>
    </w:pPr>
    <w:r>
      <w:rPr>
        <w:rFonts w:hint="eastAsia"/>
        <w:sz w:val="18"/>
        <w:lang w:eastAsia="zh-CN"/>
      </w:rPr>
      <w:t xml:space="preserve">第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PAGE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1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  共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NUMPAGES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32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DAF5A">
    <w:pPr>
      <w:pStyle w:val="10"/>
      <w:jc w:val="center"/>
      <w:rPr>
        <w:rFonts w:hint="eastAsia" w:eastAsiaTheme="minorEastAsia"/>
        <w:lang w:eastAsia="zh-CN"/>
      </w:rPr>
    </w:pPr>
    <w:r>
      <w:rPr>
        <w:rFonts w:hint="eastAsia"/>
        <w:sz w:val="18"/>
        <w:lang w:eastAsia="zh-CN"/>
      </w:rPr>
      <w:t>华润银行模块 · 数据应用需求文档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EFEC4"/>
    <w:multiLevelType w:val="multilevel"/>
    <w:tmpl w:val="819EFE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9863F3"/>
    <w:multiLevelType w:val="multilevel"/>
    <w:tmpl w:val="8E9863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3C68AE"/>
    <w:multiLevelType w:val="multilevel"/>
    <w:tmpl w:val="A03C68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1D44A7E"/>
    <w:multiLevelType w:val="multilevel"/>
    <w:tmpl w:val="A1D44A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A5772027"/>
    <w:multiLevelType w:val="multilevel"/>
    <w:tmpl w:val="A5772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410B8D"/>
    <w:multiLevelType w:val="multilevel"/>
    <w:tmpl w:val="AC410B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CC75F2B"/>
    <w:multiLevelType w:val="multilevel"/>
    <w:tmpl w:val="ACC75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D8D3275"/>
    <w:multiLevelType w:val="multilevel"/>
    <w:tmpl w:val="AD8D32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563C973"/>
    <w:multiLevelType w:val="multilevel"/>
    <w:tmpl w:val="B563C9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E38DF14"/>
    <w:multiLevelType w:val="multilevel"/>
    <w:tmpl w:val="DE38DF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50B2B2C"/>
    <w:multiLevelType w:val="multilevel"/>
    <w:tmpl w:val="050B2B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0C33B28F"/>
    <w:multiLevelType w:val="multilevel"/>
    <w:tmpl w:val="0C33B2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8A311A0"/>
    <w:multiLevelType w:val="multilevel"/>
    <w:tmpl w:val="18A31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C33D8EC"/>
    <w:multiLevelType w:val="multilevel"/>
    <w:tmpl w:val="1C33D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C97C675"/>
    <w:multiLevelType w:val="multilevel"/>
    <w:tmpl w:val="1C97C6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186B5A6"/>
    <w:multiLevelType w:val="multilevel"/>
    <w:tmpl w:val="2186B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6397D6A"/>
    <w:multiLevelType w:val="multilevel"/>
    <w:tmpl w:val="26397D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00CF4F0"/>
    <w:multiLevelType w:val="multilevel"/>
    <w:tmpl w:val="300CF4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1956EC6"/>
    <w:multiLevelType w:val="multilevel"/>
    <w:tmpl w:val="31956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7CA20E1"/>
    <w:multiLevelType w:val="multilevel"/>
    <w:tmpl w:val="37CA20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80E9C7B"/>
    <w:multiLevelType w:val="multilevel"/>
    <w:tmpl w:val="380E9C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CB3329B"/>
    <w:multiLevelType w:val="multilevel"/>
    <w:tmpl w:val="3CB332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622470B"/>
    <w:multiLevelType w:val="multilevel"/>
    <w:tmpl w:val="46224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4857B785"/>
    <w:multiLevelType w:val="multilevel"/>
    <w:tmpl w:val="4857B7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B08EC40"/>
    <w:multiLevelType w:val="multilevel"/>
    <w:tmpl w:val="4B08EC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C5285EC"/>
    <w:multiLevelType w:val="multilevel"/>
    <w:tmpl w:val="4C5285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3806FC8"/>
    <w:multiLevelType w:val="multilevel"/>
    <w:tmpl w:val="53806F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6CD69EE"/>
    <w:multiLevelType w:val="multilevel"/>
    <w:tmpl w:val="56CD69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A537307"/>
    <w:multiLevelType w:val="multilevel"/>
    <w:tmpl w:val="7A5373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D8AA84D"/>
    <w:multiLevelType w:val="multilevel"/>
    <w:tmpl w:val="7D8AA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20"/>
  </w:num>
  <w:num w:numId="5">
    <w:abstractNumId w:val="15"/>
  </w:num>
  <w:num w:numId="6">
    <w:abstractNumId w:val="7"/>
  </w:num>
  <w:num w:numId="7">
    <w:abstractNumId w:val="11"/>
  </w:num>
  <w:num w:numId="8">
    <w:abstractNumId w:val="28"/>
  </w:num>
  <w:num w:numId="9">
    <w:abstractNumId w:val="6"/>
  </w:num>
  <w:num w:numId="10">
    <w:abstractNumId w:val="17"/>
  </w:num>
  <w:num w:numId="11">
    <w:abstractNumId w:val="16"/>
  </w:num>
  <w:num w:numId="12">
    <w:abstractNumId w:val="24"/>
  </w:num>
  <w:num w:numId="13">
    <w:abstractNumId w:val="14"/>
  </w:num>
  <w:num w:numId="14">
    <w:abstractNumId w:val="18"/>
  </w:num>
  <w:num w:numId="15">
    <w:abstractNumId w:val="29"/>
  </w:num>
  <w:num w:numId="16">
    <w:abstractNumId w:val="19"/>
  </w:num>
  <w:num w:numId="17">
    <w:abstractNumId w:val="21"/>
  </w:num>
  <w:num w:numId="18">
    <w:abstractNumId w:val="4"/>
  </w:num>
  <w:num w:numId="19">
    <w:abstractNumId w:val="9"/>
  </w:num>
  <w:num w:numId="20">
    <w:abstractNumId w:val="27"/>
  </w:num>
  <w:num w:numId="21">
    <w:abstractNumId w:val="22"/>
  </w:num>
  <w:num w:numId="22">
    <w:abstractNumId w:val="13"/>
  </w:num>
  <w:num w:numId="23">
    <w:abstractNumId w:val="10"/>
  </w:num>
  <w:num w:numId="24">
    <w:abstractNumId w:val="25"/>
  </w:num>
  <w:num w:numId="25">
    <w:abstractNumId w:val="26"/>
  </w:num>
  <w:num w:numId="26">
    <w:abstractNumId w:val="12"/>
  </w:num>
  <w:num w:numId="27">
    <w:abstractNumId w:val="23"/>
  </w:num>
  <w:num w:numId="28">
    <w:abstractNumId w:val="8"/>
  </w:num>
  <w:num w:numId="29">
    <w:abstractNumId w:val="1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doNotUseIndentAsNumberingTabStop/>
    <w:useAltKinsokuLineBreakRules/>
    <w:compatSetting w:name="compatibilityMode" w:uri="http://schemas.microsoft.com/office/word" w:val="11"/>
  </w:compat>
  <w:rsids>
    <w:rsidRoot w:val="00000000"/>
    <w:rsid w:val="19457086"/>
    <w:rsid w:val="1A1C5A17"/>
    <w:rsid w:val="22614F44"/>
    <w:rsid w:val="22A87507"/>
    <w:rsid w:val="28124D06"/>
    <w:rsid w:val="30EC7498"/>
    <w:rsid w:val="35633C30"/>
    <w:rsid w:val="38184EF1"/>
    <w:rsid w:val="50C44491"/>
    <w:rsid w:val="566D41FE"/>
    <w:rsid w:val="5CD57339"/>
    <w:rsid w:val="6DED0C6F"/>
    <w:rsid w:val="7D0C1B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Theme="minorEastAsia" w:hAnsiTheme="minorEastAsia" w:eastAsiaTheme="minorEastAsia" w:cstheme="minorEastAsia"/>
      <w:kern w:val="0"/>
      <w:sz w:val="21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黑体" w:hAnsi="黑体" w:eastAsia="黑体" w:cs="黑体"/>
      <w:b/>
      <w:bCs/>
      <w:color w:val="000000"/>
      <w:kern w:val="44"/>
      <w:sz w:val="32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C8962E" w:sz="0" w:space="0"/>
        <w:bottom w:val="none" w:color="auto" w:sz="0" w:space="0"/>
        <w:right w:val="none" w:color="auto" w:sz="0" w:space="0"/>
      </w:pBdr>
      <w:spacing w:before="340" w:beforeAutospacing="0" w:after="200" w:afterAutospacing="0"/>
      <w:ind w:left="0" w:right="0"/>
      <w:jc w:val="left"/>
      <w:outlineLvl w:val="2"/>
    </w:pPr>
    <w:rPr>
      <w:rFonts w:hint="eastAsia" w:ascii="黑体" w:hAnsi="黑体" w:eastAsia="黑体" w:cs="黑体"/>
      <w:b/>
      <w:bCs/>
      <w:color w:val="000000"/>
      <w:spacing w:val="15"/>
      <w:kern w:val="0"/>
      <w:sz w:val="28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2A5298" w:sz="0" w:space="0"/>
        <w:bottom w:val="none" w:color="auto" w:sz="0" w:space="0"/>
        <w:right w:val="none" w:color="auto" w:sz="0" w:space="0"/>
      </w:pBdr>
      <w:spacing w:before="260" w:beforeAutospacing="0" w:after="160" w:afterAutospacing="0"/>
      <w:ind w:left="0" w:right="0"/>
      <w:jc w:val="left"/>
      <w:outlineLvl w:val="3"/>
    </w:pPr>
    <w:rPr>
      <w:rFonts w:hint="eastAsia" w:ascii="黑体" w:hAnsi="黑体" w:eastAsia="黑体" w:cs="黑体"/>
      <w:b/>
      <w:bCs/>
      <w:color w:val="000000"/>
      <w:kern w:val="0"/>
      <w:sz w:val="26"/>
      <w:szCs w:val="2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00" w:beforeAutospacing="0" w:after="120" w:afterAutospacing="0"/>
      <w:ind w:left="0" w:right="0"/>
      <w:jc w:val="left"/>
      <w:outlineLvl w:val="4"/>
    </w:pPr>
    <w:rPr>
      <w:rFonts w:hint="eastAsia" w:ascii="黑体" w:hAnsi="黑体" w:eastAsia="黑体" w:cs="黑体"/>
      <w:b/>
      <w:bCs/>
      <w:color w:val="000000"/>
      <w:kern w:val="0"/>
      <w:sz w:val="24"/>
      <w:szCs w:val="26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spacing w:before="200" w:beforeAutospacing="0" w:after="120" w:afterAutospacing="0"/>
      <w:ind w:left="0" w:right="0"/>
      <w:jc w:val="left"/>
    </w:pPr>
    <w:rPr>
      <w:rFonts w:hint="eastAsia" w:ascii="黑体" w:hAnsi="宋体" w:eastAsia="黑体" w:cs="黑体"/>
      <w:b/>
      <w:bCs/>
      <w:color w:val="000000"/>
      <w:kern w:val="0"/>
      <w:sz w:val="24"/>
      <w:szCs w:val="24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spacing w:before="160" w:beforeAutospacing="0" w:after="80" w:afterAutospacing="0"/>
      <w:ind w:left="0" w:right="0"/>
      <w:jc w:val="left"/>
    </w:pPr>
    <w:rPr>
      <w:rFonts w:hint="eastAsia" w:ascii="黑体" w:hAnsi="宋体" w:eastAsia="黑体" w:cs="黑体"/>
      <w:b/>
      <w:bCs/>
      <w:color w:val="000000"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qFormat/>
    <w:uiPriority w:val="0"/>
    <w:pPr>
      <w:pBdr>
        <w:top w:val="single" w:color="EEF1F6" w:sz="6" w:space="13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9CA3AF"/>
      <w:kern w:val="0"/>
      <w:sz w:val="18"/>
      <w:szCs w:val="18"/>
      <w:lang w:val="en-US" w:eastAsia="zh-CN" w:bidi="ar"/>
    </w:rPr>
  </w:style>
  <w:style w:type="paragraph" w:styleId="10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styleId="11">
    <w:name w:val="toc 4"/>
    <w:basedOn w:val="1"/>
    <w:next w:val="1"/>
    <w:qFormat/>
    <w:uiPriority w:val="0"/>
    <w:pPr>
      <w:ind w:left="1260" w:leftChars="600"/>
    </w:p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80" w:beforeAutospacing="0" w:after="8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FollowedHyperlink"/>
    <w:basedOn w:val="15"/>
    <w:qFormat/>
    <w:uiPriority w:val="0"/>
    <w:rPr>
      <w:color w:val="2A5298"/>
      <w:u w:val="single"/>
    </w:rPr>
  </w:style>
  <w:style w:type="character" w:styleId="17">
    <w:name w:val="Hyperlink"/>
    <w:basedOn w:val="15"/>
    <w:qFormat/>
    <w:uiPriority w:val="0"/>
    <w:rPr>
      <w:color w:val="2A5298"/>
      <w:u w:val="single"/>
    </w:rPr>
  </w:style>
  <w:style w:type="character" w:styleId="18">
    <w:name w:val="HTML Code"/>
    <w:basedOn w:val="15"/>
    <w:qFormat/>
    <w:uiPriority w:val="0"/>
    <w:rPr>
      <w:rFonts w:ascii="Consolas" w:hAnsi="Consolas" w:eastAsia="Consolas" w:cs="Consolas"/>
      <w:color w:val="2A5298"/>
      <w:sz w:val="18"/>
      <w:szCs w:val="18"/>
      <w:bdr w:val="single" w:color="E0E5EE" w:sz="6" w:space="0"/>
      <w:shd w:val="clear" w:fill="F2F4F8"/>
    </w:rPr>
  </w:style>
  <w:style w:type="paragraph" w:customStyle="1" w:styleId="19">
    <w:name w:val="std-multiselec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0">
    <w:name w:val="std-form"/>
    <w:basedOn w:val="1"/>
    <w:qFormat/>
    <w:uiPriority w:val="0"/>
    <w:pPr>
      <w:spacing w:after="210" w:afterAutospacing="0"/>
      <w:jc w:val="left"/>
    </w:pPr>
    <w:rPr>
      <w:kern w:val="0"/>
      <w:lang w:val="en-US" w:eastAsia="zh-CN" w:bidi="ar"/>
    </w:rPr>
  </w:style>
  <w:style w:type="paragraph" w:customStyle="1" w:styleId="21">
    <w:name w:val="gk-table-sectio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2">
    <w:name w:val="dev-box"/>
    <w:basedOn w:val="1"/>
    <w:qFormat/>
    <w:uiPriority w:val="0"/>
    <w:pPr>
      <w:pBdr>
        <w:top w:val="single" w:color="C6D8EE" w:sz="6" w:space="7"/>
        <w:left w:val="single" w:color="C6D8EE" w:sz="6" w:space="10"/>
        <w:bottom w:val="single" w:color="C6D8EE" w:sz="6" w:space="7"/>
        <w:right w:val="single" w:color="C6D8EE" w:sz="6" w:space="10"/>
      </w:pBdr>
      <w:shd w:val="clear" w:fill="EEF3FA"/>
      <w:spacing w:before="180" w:beforeAutospacing="0" w:after="180" w:afterAutospacing="0"/>
      <w:ind w:left="0" w:right="0"/>
      <w:jc w:val="left"/>
    </w:pPr>
    <w:rPr>
      <w:color w:val="274B7D"/>
      <w:kern w:val="0"/>
      <w:sz w:val="19"/>
      <w:szCs w:val="19"/>
      <w:lang w:val="en-US" w:eastAsia="zh-CN" w:bidi="ar"/>
    </w:rPr>
  </w:style>
  <w:style w:type="paragraph" w:customStyle="1" w:styleId="23">
    <w:name w:val="head-demo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">
    <w:name w:val="gq-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5">
    <w:name w:val="caliber-pane"/>
    <w:basedOn w:val="1"/>
    <w:qFormat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26">
    <w:name w:val="tip"/>
    <w:basedOn w:val="1"/>
    <w:qFormat/>
    <w:uiPriority w:val="0"/>
    <w:pPr>
      <w:pBdr>
        <w:top w:val="single" w:color="7F7F7F" w:sz="4" w:space="6"/>
        <w:left w:val="single" w:color="7F7F7F" w:sz="4" w:space="9"/>
        <w:bottom w:val="single" w:color="7F7F7F" w:sz="4" w:space="6"/>
        <w:right w:val="single" w:color="7F7F7F" w:sz="4" w:space="9"/>
      </w:pBdr>
      <w:shd w:val="clear" w:fill="E8ECF1"/>
      <w:spacing w:before="120" w:beforeAutospacing="0" w:after="120" w:afterAutospacing="0"/>
      <w:ind w:left="0" w:right="0"/>
      <w:jc w:val="left"/>
    </w:pPr>
    <w:rPr>
      <w:color w:val="000000"/>
      <w:kern w:val="0"/>
      <w:sz w:val="21"/>
      <w:szCs w:val="21"/>
      <w:lang w:val="en-US" w:eastAsia="zh-CN" w:bidi="ar"/>
    </w:rPr>
  </w:style>
  <w:style w:type="paragraph" w:customStyle="1" w:styleId="27">
    <w:name w:val="cnt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28">
    <w:name w:val="cnt2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29">
    <w:name w:val="cnt4"/>
    <w:basedOn w:val="1"/>
    <w:qFormat/>
    <w:uiPriority w:val="0"/>
    <w:pPr>
      <w:jc w:val="left"/>
    </w:pPr>
    <w:rPr>
      <w:color w:val="808080"/>
      <w:kern w:val="0"/>
      <w:sz w:val="20"/>
      <w:szCs w:val="20"/>
      <w:lang w:val="en-US" w:eastAsia="zh-CN" w:bidi="ar"/>
    </w:rPr>
  </w:style>
  <w:style w:type="paragraph" w:customStyle="1" w:styleId="30">
    <w:name w:val="cnt6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31">
    <w:name w:val="xmark"/>
    <w:basedOn w:val="1"/>
    <w:qFormat/>
    <w:uiPriority w:val="0"/>
    <w:pPr>
      <w:jc w:val="left"/>
    </w:pPr>
    <w:rPr>
      <w:b/>
      <w:bCs/>
      <w:color w:val="000000"/>
      <w:kern w:val="0"/>
      <w:lang w:val="en-US" w:eastAsia="zh-CN" w:bidi="ar"/>
    </w:rPr>
  </w:style>
  <w:style w:type="paragraph" w:customStyle="1" w:styleId="32">
    <w:name w:val="query-freq-box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8F9FB"/>
      <w:jc w:val="left"/>
    </w:pPr>
    <w:rPr>
      <w:kern w:val="0"/>
      <w:lang w:val="en-US" w:eastAsia="zh-CN" w:bidi="ar"/>
    </w:rPr>
  </w:style>
  <w:style w:type="paragraph" w:customStyle="1" w:styleId="33">
    <w:name w:val="std-tree-cb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4">
    <w:name w:val="std-tree-cb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5">
    <w:name w:val="ck-gauge-val"/>
    <w:basedOn w:val="1"/>
    <w:qFormat/>
    <w:uiPriority w:val="0"/>
    <w:pPr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36">
    <w:name w:val="tag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15" w:beforeAutospacing="0" w:after="15" w:afterAutospacing="0"/>
      <w:ind w:left="30" w:right="30"/>
      <w:jc w:val="left"/>
    </w:pPr>
    <w:rPr>
      <w:color w:val="000000"/>
      <w:kern w:val="0"/>
      <w:sz w:val="17"/>
      <w:szCs w:val="17"/>
      <w:lang w:val="en-US" w:eastAsia="zh-CN" w:bidi="ar"/>
    </w:rPr>
  </w:style>
  <w:style w:type="paragraph" w:customStyle="1" w:styleId="37">
    <w:name w:val="cock-bas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8F9FB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38">
    <w:name w:val="hl-exp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2CC"/>
      <w:jc w:val="left"/>
    </w:pPr>
    <w:rPr>
      <w:b/>
      <w:bCs/>
      <w:color w:val="000000"/>
      <w:kern w:val="0"/>
      <w:lang w:val="en-US" w:eastAsia="zh-CN" w:bidi="ar"/>
    </w:rPr>
  </w:style>
  <w:style w:type="paragraph" w:customStyle="1" w:styleId="39">
    <w:name w:val="header-sub"/>
    <w:basedOn w:val="1"/>
    <w:qFormat/>
    <w:uiPriority w:val="0"/>
    <w:pPr>
      <w:spacing w:before="15" w:beforeAutospacing="0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40">
    <w:name w:val="tt-period"/>
    <w:basedOn w:val="1"/>
    <w:qFormat/>
    <w:uiPriority w:val="0"/>
    <w:pPr>
      <w:shd w:val="clear" w:fill="FDE3C8"/>
      <w:jc w:val="left"/>
    </w:pPr>
    <w:rPr>
      <w:color w:val="000000"/>
      <w:kern w:val="0"/>
      <w:lang w:val="en-US" w:eastAsia="zh-CN" w:bidi="ar"/>
    </w:rPr>
  </w:style>
  <w:style w:type="paragraph" w:customStyle="1" w:styleId="41">
    <w:name w:val="query-pag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2">
    <w:name w:val="gk-2r-l&gt;span"/>
    <w:basedOn w:val="1"/>
    <w:qFormat/>
    <w:uiPriority w:val="0"/>
    <w:pPr>
      <w:jc w:val="left"/>
    </w:pPr>
    <w:rPr>
      <w:spacing w:val="15"/>
      <w:kern w:val="0"/>
      <w:sz w:val="15"/>
      <w:szCs w:val="15"/>
      <w:lang w:val="en-US" w:eastAsia="zh-CN" w:bidi="ar"/>
    </w:rPr>
  </w:style>
  <w:style w:type="paragraph" w:customStyle="1" w:styleId="43">
    <w:name w:val="std-form-item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44">
    <w:name w:val="ck-trend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45">
    <w:name w:val="ph"/>
    <w:basedOn w:val="1"/>
    <w:qFormat/>
    <w:uiPriority w:val="0"/>
    <w:pPr>
      <w:jc w:val="left"/>
    </w:pPr>
    <w:rPr>
      <w:rFonts w:ascii="黑体" w:hAnsi="宋体" w:eastAsia="黑体" w:cs="黑体"/>
      <w:b/>
      <w:bCs/>
      <w:color w:val="404040"/>
      <w:spacing w:val="0"/>
      <w:kern w:val="0"/>
      <w:lang w:val="en-US" w:eastAsia="zh-CN" w:bidi="ar"/>
    </w:rPr>
  </w:style>
  <w:style w:type="paragraph" w:customStyle="1" w:styleId="46">
    <w:name w:val="gk-t12-cap"/>
    <w:basedOn w:val="1"/>
    <w:qFormat/>
    <w:uiPriority w:val="0"/>
    <w:pPr>
      <w:pBdr>
        <w:top w:val="dashed" w:color="E4EEFB" w:sz="6" w:space="5"/>
      </w:pBdr>
      <w:spacing w:after="60" w:afterAutospacing="0"/>
      <w:jc w:val="left"/>
    </w:pPr>
    <w:rPr>
      <w:color w:val="8AA2BD"/>
      <w:spacing w:val="15"/>
      <w:kern w:val="0"/>
      <w:sz w:val="15"/>
      <w:szCs w:val="15"/>
      <w:lang w:val="en-US" w:eastAsia="zh-CN" w:bidi="ar"/>
    </w:rPr>
  </w:style>
  <w:style w:type="paragraph" w:customStyle="1" w:styleId="47">
    <w:name w:val="dim-na"/>
    <w:basedOn w:val="1"/>
    <w:qFormat/>
    <w:uiPriority w:val="0"/>
    <w:pPr>
      <w:jc w:val="left"/>
    </w:pPr>
    <w:rPr>
      <w:rFonts w:ascii="黑体" w:hAnsi="宋体" w:eastAsia="黑体" w:cs="黑体"/>
      <w:b/>
      <w:bCs/>
      <w:color w:val="6F7B88"/>
      <w:spacing w:val="8"/>
      <w:kern w:val="0"/>
      <w:sz w:val="19"/>
      <w:szCs w:val="19"/>
      <w:lang w:val="en-US" w:eastAsia="zh-CN" w:bidi="ar"/>
    </w:rPr>
  </w:style>
  <w:style w:type="paragraph" w:customStyle="1" w:styleId="48">
    <w:name w:val="std-ms-bt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49">
    <w:name w:val="caliber-tab-name"/>
    <w:basedOn w:val="1"/>
    <w:qFormat/>
    <w:uiPriority w:val="0"/>
    <w:pPr>
      <w:spacing w:line="21" w:lineRule="atLeast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50">
    <w:name w:val="group-row"/>
    <w:basedOn w:val="1"/>
    <w:qFormat/>
    <w:uiPriority w:val="0"/>
    <w:pPr>
      <w:pBdr>
        <w:left w:val="none" w:color="auto" w:sz="0" w:space="0"/>
      </w:pBdr>
      <w:jc w:val="left"/>
    </w:pPr>
    <w:rPr>
      <w:b/>
      <w:bCs/>
      <w:kern w:val="0"/>
      <w:lang w:val="en-US" w:eastAsia="zh-CN" w:bidi="ar"/>
    </w:rPr>
  </w:style>
  <w:style w:type="paragraph" w:customStyle="1" w:styleId="51">
    <w:name w:val="collapse-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15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52">
    <w:name w:val="sub"/>
    <w:basedOn w:val="1"/>
    <w:qFormat/>
    <w:uiPriority w:val="0"/>
    <w:pPr>
      <w:jc w:val="left"/>
    </w:pPr>
    <w:rPr>
      <w:spacing w:val="15"/>
      <w:kern w:val="0"/>
      <w:sz w:val="21"/>
      <w:szCs w:val="21"/>
      <w:lang w:val="en-US" w:eastAsia="zh-CN" w:bidi="ar"/>
    </w:rPr>
  </w:style>
  <w:style w:type="paragraph" w:customStyle="1" w:styleId="53">
    <w:name w:val="gk-strip-sep"/>
    <w:basedOn w:val="1"/>
    <w:qFormat/>
    <w:uiPriority w:val="0"/>
    <w:pPr>
      <w:shd w:val="clear" w:fill="A8D4F5"/>
      <w:jc w:val="left"/>
    </w:pPr>
    <w:rPr>
      <w:kern w:val="0"/>
      <w:lang w:val="en-US" w:eastAsia="zh-CN" w:bidi="ar"/>
    </w:rPr>
  </w:style>
  <w:style w:type="paragraph" w:customStyle="1" w:styleId="54">
    <w:name w:val="std-group-title"/>
    <w:basedOn w:val="1"/>
    <w:qFormat/>
    <w:uiPriority w:val="0"/>
    <w:pPr>
      <w:pBdr>
        <w:left w:val="none" w:color="auto" w:sz="0" w:space="0"/>
      </w:pBdr>
      <w:spacing w:after="9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55">
    <w:name w:val="meta"/>
    <w:basedOn w:val="1"/>
    <w:qFormat/>
    <w:uiPriority w:val="0"/>
    <w:pPr>
      <w:spacing w:before="330" w:beforeAutospacing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56">
    <w:name w:val="tt-point"/>
    <w:basedOn w:val="1"/>
    <w:qFormat/>
    <w:uiPriority w:val="0"/>
    <w:pPr>
      <w:shd w:val="clear" w:fill="DCE8F8"/>
      <w:jc w:val="left"/>
    </w:pPr>
    <w:rPr>
      <w:color w:val="000000"/>
      <w:kern w:val="0"/>
      <w:lang w:val="en-US" w:eastAsia="zh-CN" w:bidi="ar"/>
    </w:rPr>
  </w:style>
  <w:style w:type="paragraph" w:customStyle="1" w:styleId="57">
    <w:name w:val="confirm-box"/>
    <w:basedOn w:val="1"/>
    <w:qFormat/>
    <w:uiPriority w:val="0"/>
    <w:pPr>
      <w:pBdr>
        <w:top w:val="single" w:color="7F7F7F" w:sz="4" w:space="6"/>
        <w:left w:val="single" w:color="7F7F7F" w:sz="4" w:space="9"/>
        <w:bottom w:val="single" w:color="7F7F7F" w:sz="4" w:space="6"/>
        <w:right w:val="single" w:color="7F7F7F" w:sz="4" w:space="9"/>
      </w:pBdr>
      <w:shd w:val="clear" w:fill="E8ECF1"/>
      <w:spacing w:before="180" w:beforeAutospacing="0" w:after="180" w:afterAutospacing="0"/>
      <w:ind w:left="0" w:right="0"/>
      <w:jc w:val="left"/>
    </w:pPr>
    <w:rPr>
      <w:color w:val="000000"/>
      <w:kern w:val="0"/>
      <w:sz w:val="19"/>
      <w:szCs w:val="19"/>
      <w:lang w:val="en-US" w:eastAsia="zh-CN" w:bidi="ar"/>
    </w:rPr>
  </w:style>
  <w:style w:type="paragraph" w:customStyle="1" w:styleId="58">
    <w:name w:val="std-tree-lb"/>
    <w:basedOn w:val="1"/>
    <w:qFormat/>
    <w:uiPriority w:val="0"/>
    <w:pPr>
      <w:jc w:val="left"/>
    </w:pPr>
    <w:rPr>
      <w:color w:val="333C4A"/>
      <w:kern w:val="0"/>
      <w:sz w:val="20"/>
      <w:szCs w:val="20"/>
      <w:lang w:val="en-US" w:eastAsia="zh-CN" w:bidi="ar"/>
    </w:rPr>
  </w:style>
  <w:style w:type="paragraph" w:customStyle="1" w:styleId="59">
    <w:name w:val="std-tree-lb2"/>
    <w:basedOn w:val="1"/>
    <w:qFormat/>
    <w:uiPriority w:val="0"/>
    <w:pPr>
      <w:jc w:val="left"/>
    </w:pPr>
    <w:rPr>
      <w:color w:val="333C4A"/>
      <w:kern w:val="0"/>
      <w:sz w:val="20"/>
      <w:szCs w:val="20"/>
      <w:lang w:val="en-US" w:eastAsia="zh-CN" w:bidi="ar"/>
    </w:rPr>
  </w:style>
  <w:style w:type="paragraph" w:customStyle="1" w:styleId="60">
    <w:name w:val="gk-stat&gt;spa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61">
    <w:name w:val="query-inpu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9"/>
      <w:szCs w:val="19"/>
      <w:lang w:val="en-US" w:eastAsia="zh-CN" w:bidi="ar"/>
    </w:rPr>
  </w:style>
  <w:style w:type="paragraph" w:customStyle="1" w:styleId="62">
    <w:name w:val="gk-wide-title"/>
    <w:basedOn w:val="1"/>
    <w:qFormat/>
    <w:uiPriority w:val="0"/>
    <w:pPr>
      <w:jc w:val="left"/>
    </w:pPr>
    <w:rPr>
      <w:b/>
      <w:bCs/>
      <w:color w:val="0D6EF0"/>
      <w:spacing w:val="15"/>
      <w:kern w:val="0"/>
      <w:sz w:val="19"/>
      <w:szCs w:val="19"/>
      <w:lang w:val="en-US" w:eastAsia="zh-CN" w:bidi="ar"/>
    </w:rPr>
  </w:style>
  <w:style w:type="paragraph" w:customStyle="1" w:styleId="63">
    <w:name w:val="page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64">
    <w:name w:val="query-selec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65">
    <w:name w:val="query-toolbar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66">
    <w:name w:val="fz-select-name"/>
    <w:basedOn w:val="1"/>
    <w:qFormat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67">
    <w:name w:val="gk-wide-char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68">
    <w:name w:val="std-pager-total"/>
    <w:basedOn w:val="1"/>
    <w:qFormat/>
    <w:uiPriority w:val="0"/>
    <w:pPr>
      <w:jc w:val="left"/>
    </w:pPr>
    <w:rPr>
      <w:color w:val="4B5563"/>
      <w:kern w:val="0"/>
      <w:sz w:val="18"/>
      <w:szCs w:val="18"/>
      <w:lang w:val="en-US" w:eastAsia="zh-CN" w:bidi="ar"/>
    </w:rPr>
  </w:style>
  <w:style w:type="paragraph" w:customStyle="1" w:styleId="69">
    <w:name w:val="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70">
    <w:name w:val="brief"/>
    <w:basedOn w:val="1"/>
    <w:qFormat/>
    <w:uiPriority w:val="0"/>
    <w:pPr>
      <w:jc w:val="left"/>
    </w:pPr>
    <w:rPr>
      <w:color w:val="000000"/>
      <w:kern w:val="0"/>
      <w:lang w:val="en-US" w:eastAsia="zh-CN" w:bidi="ar"/>
    </w:rPr>
  </w:style>
  <w:style w:type="paragraph" w:customStyle="1" w:styleId="71">
    <w:name w:val="fz-company-view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72">
    <w:name w:val="none"/>
    <w:basedOn w:val="1"/>
    <w:qFormat/>
    <w:uiPriority w:val="0"/>
    <w:pPr>
      <w:jc w:val="left"/>
    </w:pPr>
    <w:rPr>
      <w:color w:val="9CA3AF"/>
      <w:kern w:val="0"/>
      <w:sz w:val="18"/>
      <w:szCs w:val="18"/>
      <w:lang w:val="en-US" w:eastAsia="zh-CN" w:bidi="ar"/>
    </w:rPr>
  </w:style>
  <w:style w:type="paragraph" w:customStyle="1" w:styleId="73">
    <w:name w:val="stick-4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74">
    <w:name w:val="gk-wide-head"/>
    <w:basedOn w:val="1"/>
    <w:qFormat/>
    <w:uiPriority w:val="0"/>
    <w:pPr>
      <w:spacing w:after="30" w:afterAutospacing="0"/>
      <w:jc w:val="left"/>
    </w:pPr>
    <w:rPr>
      <w:kern w:val="0"/>
      <w:lang w:val="en-US" w:eastAsia="zh-CN" w:bidi="ar"/>
    </w:rPr>
  </w:style>
  <w:style w:type="paragraph" w:customStyle="1" w:styleId="75">
    <w:name w:val="std-tabs"/>
    <w:basedOn w:val="1"/>
    <w:qFormat/>
    <w:uiPriority w:val="0"/>
    <w:pPr>
      <w:spacing w:before="3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76">
    <w:name w:val="std-sec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b/>
      <w:bCs/>
      <w:color w:val="FFFFFF"/>
      <w:kern w:val="0"/>
      <w:sz w:val="18"/>
      <w:szCs w:val="18"/>
      <w:lang w:val="en-US" w:eastAsia="zh-CN" w:bidi="ar"/>
    </w:rPr>
  </w:style>
  <w:style w:type="paragraph" w:customStyle="1" w:styleId="77">
    <w:name w:val="header-nav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78">
    <w:name w:val="ym-selec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b/>
      <w:bCs/>
      <w:kern w:val="0"/>
      <w:sz w:val="20"/>
      <w:szCs w:val="20"/>
      <w:lang w:val="en-US" w:eastAsia="zh-CN" w:bidi="ar"/>
    </w:rPr>
  </w:style>
  <w:style w:type="paragraph" w:customStyle="1" w:styleId="79">
    <w:name w:val="fz-select-op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33475F"/>
      <w:kern w:val="0"/>
      <w:sz w:val="19"/>
      <w:szCs w:val="19"/>
      <w:lang w:val="en-US" w:eastAsia="zh-CN" w:bidi="ar"/>
    </w:rPr>
  </w:style>
  <w:style w:type="paragraph" w:customStyle="1" w:styleId="80">
    <w:name w:val="std-form-label"/>
    <w:basedOn w:val="1"/>
    <w:qFormat/>
    <w:uiPriority w:val="0"/>
    <w:pPr>
      <w:jc w:val="right"/>
    </w:pPr>
    <w:rPr>
      <w:color w:val="4B5563"/>
      <w:kern w:val="0"/>
      <w:sz w:val="19"/>
      <w:szCs w:val="19"/>
      <w:lang w:val="en-US" w:eastAsia="zh-CN" w:bidi="ar"/>
    </w:rPr>
  </w:style>
  <w:style w:type="paragraph" w:customStyle="1" w:styleId="81">
    <w:name w:val="header-logo"/>
    <w:basedOn w:val="1"/>
    <w:qFormat/>
    <w:uiPriority w:val="0"/>
    <w:pPr>
      <w:jc w:val="left"/>
    </w:pPr>
    <w:rPr>
      <w:b/>
      <w:bCs/>
      <w:color w:val="FFFFFF"/>
      <w:kern w:val="0"/>
      <w:sz w:val="27"/>
      <w:szCs w:val="27"/>
      <w:lang w:val="en-US" w:eastAsia="zh-CN" w:bidi="ar"/>
    </w:rPr>
  </w:style>
  <w:style w:type="paragraph" w:customStyle="1" w:styleId="82">
    <w:name w:val="cock-companies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83">
    <w:name w:val="header-lef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84">
    <w:name w:val="topnav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b/>
      <w:bCs/>
      <w:spacing w:val="45"/>
      <w:kern w:val="0"/>
      <w:sz w:val="22"/>
      <w:szCs w:val="22"/>
      <w:lang w:val="en-US" w:eastAsia="zh-CN" w:bidi="ar"/>
    </w:rPr>
  </w:style>
  <w:style w:type="paragraph" w:customStyle="1" w:styleId="85">
    <w:name w:val="std-table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86">
    <w:name w:val="stick-3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87">
    <w:name w:val="std-drawer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88">
    <w:name w:val="gq-fi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89">
    <w:name w:val="query-car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90">
    <w:name w:val="std-tree-exp"/>
    <w:basedOn w:val="1"/>
    <w:qFormat/>
    <w:uiPriority w:val="0"/>
    <w:pPr>
      <w:jc w:val="center"/>
    </w:pPr>
    <w:rPr>
      <w:color w:val="8A94A3"/>
      <w:kern w:val="0"/>
      <w:sz w:val="15"/>
      <w:szCs w:val="15"/>
      <w:lang w:val="en-US" w:eastAsia="zh-CN" w:bidi="ar"/>
    </w:rPr>
  </w:style>
  <w:style w:type="paragraph" w:customStyle="1" w:styleId="91">
    <w:name w:val="std-ctrl"/>
    <w:basedOn w:val="1"/>
    <w:qFormat/>
    <w:uiPriority w:val="0"/>
    <w:pPr>
      <w:pBdr>
        <w:top w:val="single" w:color="D7DBE0" w:sz="6" w:space="0"/>
        <w:left w:val="single" w:color="D7DBE0" w:sz="6" w:space="9"/>
        <w:bottom w:val="single" w:color="D7DBE0" w:sz="6" w:space="0"/>
        <w:right w:val="single" w:color="D7DBE0" w:sz="6" w:space="9"/>
      </w:pBdr>
      <w:shd w:val="clear" w:fill="FFFF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92">
    <w:name w:val="std-form-actio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3">
    <w:name w:val="btn-std"/>
    <w:basedOn w:val="1"/>
    <w:qFormat/>
    <w:uiPriority w:val="0"/>
    <w:pPr>
      <w:jc w:val="left"/>
    </w:pPr>
    <w:rPr>
      <w:spacing w:val="45"/>
      <w:kern w:val="0"/>
      <w:sz w:val="21"/>
      <w:szCs w:val="21"/>
      <w:lang w:val="en-US" w:eastAsia="zh-CN" w:bidi="ar"/>
    </w:rPr>
  </w:style>
  <w:style w:type="paragraph" w:customStyle="1" w:styleId="94">
    <w:name w:val="std-pager"/>
    <w:basedOn w:val="1"/>
    <w:qFormat/>
    <w:uiPriority w:val="0"/>
    <w:pPr>
      <w:spacing w:before="210" w:beforeAutospacing="0"/>
      <w:jc w:val="left"/>
    </w:pPr>
    <w:rPr>
      <w:kern w:val="0"/>
      <w:lang w:val="en-US" w:eastAsia="zh-CN" w:bidi="ar"/>
    </w:rPr>
  </w:style>
  <w:style w:type="paragraph" w:customStyle="1" w:styleId="95">
    <w:name w:val="std-ms-se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6">
    <w:name w:val="std-ms-pop"/>
    <w:basedOn w:val="1"/>
    <w:qFormat/>
    <w:uiPriority w:val="0"/>
    <w:pPr>
      <w:pBdr>
        <w:top w:val="single" w:color="E3E6EA" w:sz="6" w:space="4"/>
        <w:left w:val="single" w:color="E3E6EA" w:sz="6" w:space="0"/>
        <w:bottom w:val="single" w:color="E3E6EA" w:sz="6" w:space="4"/>
        <w:right w:val="single" w:color="E3E6EA" w:sz="6" w:space="0"/>
      </w:pBdr>
      <w:shd w:val="clear" w:fill="F7F8FA"/>
      <w:jc w:val="left"/>
    </w:pPr>
    <w:rPr>
      <w:vanish/>
      <w:kern w:val="0"/>
      <w:lang w:val="en-US" w:eastAsia="zh-CN" w:bidi="ar"/>
    </w:rPr>
  </w:style>
  <w:style w:type="paragraph" w:customStyle="1" w:styleId="97">
    <w:name w:val="std-treeselec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8">
    <w:name w:val="table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9">
    <w:name w:val="std-tree-bt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00">
    <w:name w:val="std-drawer-title"/>
    <w:basedOn w:val="1"/>
    <w:qFormat/>
    <w:uiPriority w:val="0"/>
    <w:pPr>
      <w:pBdr>
        <w:right w:val="none" w:color="auto" w:sz="0" w:space="0"/>
      </w:pBdr>
      <w:spacing w:line="23" w:lineRule="atLeast"/>
      <w:jc w:val="left"/>
    </w:pPr>
    <w:rPr>
      <w:b/>
      <w:bCs/>
      <w:kern w:val="0"/>
      <w:sz w:val="24"/>
      <w:szCs w:val="24"/>
      <w:lang w:val="en-US" w:eastAsia="zh-CN" w:bidi="ar"/>
    </w:rPr>
  </w:style>
  <w:style w:type="paragraph" w:customStyle="1" w:styleId="101">
    <w:name w:val="std-tree-se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02">
    <w:name w:val="std-tree-chev"/>
    <w:basedOn w:val="1"/>
    <w:qFormat/>
    <w:uiPriority w:val="0"/>
    <w:pPr>
      <w:jc w:val="left"/>
    </w:pPr>
    <w:rPr>
      <w:color w:val="8A94A3"/>
      <w:kern w:val="0"/>
      <w:sz w:val="16"/>
      <w:szCs w:val="16"/>
      <w:lang w:val="en-US" w:eastAsia="zh-CN" w:bidi="ar"/>
    </w:rPr>
  </w:style>
  <w:style w:type="paragraph" w:customStyle="1" w:styleId="103">
    <w:name w:val="lb"/>
    <w:basedOn w:val="1"/>
    <w:qFormat/>
    <w:uiPriority w:val="0"/>
    <w:pPr>
      <w:ind w:right="75"/>
      <w:jc w:val="left"/>
      <w:textAlignment w:val="auto"/>
    </w:pPr>
    <w:rPr>
      <w:kern w:val="0"/>
      <w:lang w:val="en-US" w:eastAsia="zh-CN" w:bidi="ar"/>
    </w:rPr>
  </w:style>
  <w:style w:type="paragraph" w:customStyle="1" w:styleId="104">
    <w:name w:val="std-tree-pop"/>
    <w:basedOn w:val="1"/>
    <w:qFormat/>
    <w:uiPriority w:val="0"/>
    <w:pPr>
      <w:pBdr>
        <w:top w:val="single" w:color="E3E6EA" w:sz="6" w:space="4"/>
        <w:left w:val="single" w:color="E3E6EA" w:sz="6" w:space="0"/>
        <w:bottom w:val="single" w:color="E3E6EA" w:sz="6" w:space="4"/>
        <w:right w:val="single" w:color="E3E6EA" w:sz="6" w:space="0"/>
      </w:pBdr>
      <w:shd w:val="clear" w:fill="F7F8FA"/>
      <w:jc w:val="left"/>
    </w:pPr>
    <w:rPr>
      <w:vanish/>
      <w:kern w:val="0"/>
      <w:lang w:val="en-US" w:eastAsia="zh-CN" w:bidi="ar"/>
    </w:rPr>
  </w:style>
  <w:style w:type="paragraph" w:customStyle="1" w:styleId="105">
    <w:name w:val="topnav-sub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33475F"/>
      <w:kern w:val="0"/>
      <w:sz w:val="18"/>
      <w:szCs w:val="18"/>
      <w:lang w:val="en-US" w:eastAsia="zh-CN" w:bidi="ar"/>
    </w:rPr>
  </w:style>
  <w:style w:type="paragraph" w:customStyle="1" w:styleId="106">
    <w:name w:val="std-name"/>
    <w:basedOn w:val="1"/>
    <w:qFormat/>
    <w:uiPriority w:val="0"/>
    <w:pPr>
      <w:spacing w:line="23" w:lineRule="atLeast"/>
      <w:jc w:val="left"/>
    </w:pPr>
    <w:rPr>
      <w:b/>
      <w:bCs/>
      <w:kern w:val="0"/>
      <w:lang w:val="en-US" w:eastAsia="zh-CN" w:bidi="ar"/>
    </w:rPr>
  </w:style>
  <w:style w:type="paragraph" w:customStyle="1" w:styleId="107">
    <w:name w:val="std-tree-row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08">
    <w:name w:val="sheet-panel"/>
    <w:basedOn w:val="1"/>
    <w:qFormat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09">
    <w:name w:val="std-badg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b/>
      <w:bCs/>
      <w:kern w:val="0"/>
      <w:sz w:val="16"/>
      <w:szCs w:val="16"/>
      <w:lang w:val="en-US" w:eastAsia="zh-CN" w:bidi="ar"/>
    </w:rPr>
  </w:style>
  <w:style w:type="paragraph" w:customStyle="1" w:styleId="110">
    <w:name w:val="btn-std-search"/>
    <w:basedOn w:val="1"/>
    <w:qFormat/>
    <w:uiPriority w:val="0"/>
    <w:pPr>
      <w:jc w:val="left"/>
    </w:pPr>
    <w:rPr>
      <w:color w:val="FFFFFF"/>
      <w:kern w:val="0"/>
      <w:lang w:val="en-US" w:eastAsia="zh-CN" w:bidi="ar"/>
    </w:rPr>
  </w:style>
  <w:style w:type="paragraph" w:customStyle="1" w:styleId="111">
    <w:name w:val="btn-std-reset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12">
    <w:name w:val="query-table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13">
    <w:name w:val="tag-none"/>
    <w:basedOn w:val="1"/>
    <w:qFormat/>
    <w:uiPriority w:val="0"/>
    <w:pPr>
      <w:jc w:val="left"/>
    </w:pPr>
    <w:rPr>
      <w:color w:val="C0C4CC"/>
      <w:kern w:val="0"/>
      <w:lang w:val="en-US" w:eastAsia="zh-CN" w:bidi="ar"/>
    </w:rPr>
  </w:style>
  <w:style w:type="paragraph" w:customStyle="1" w:styleId="114">
    <w:name w:val="link-bt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15">
    <w:name w:val="std-tab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5A6B82"/>
      <w:kern w:val="0"/>
      <w:sz w:val="19"/>
      <w:szCs w:val="19"/>
      <w:lang w:val="en-US" w:eastAsia="zh-CN" w:bidi="ar"/>
    </w:rPr>
  </w:style>
  <w:style w:type="paragraph" w:customStyle="1" w:styleId="116">
    <w:name w:val="progress-bar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17">
    <w:name w:val="nav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0" w:afterAutospacing="0" w:line="21" w:lineRule="atLeast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18">
    <w:name w:val="nav-item2"/>
    <w:basedOn w:val="1"/>
    <w:qFormat/>
    <w:uiPriority w:val="0"/>
    <w:pPr>
      <w:pBdr>
        <w:lef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19">
    <w:name w:val="query-empt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  <w:rPr>
      <w:kern w:val="0"/>
      <w:sz w:val="19"/>
      <w:szCs w:val="19"/>
      <w:lang w:val="en-US" w:eastAsia="zh-CN" w:bidi="ar"/>
    </w:rPr>
  </w:style>
  <w:style w:type="paragraph" w:customStyle="1" w:styleId="120">
    <w:name w:val="std-pag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21">
    <w:name w:val="std-sta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22">
    <w:name w:val="conten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23">
    <w:name w:val="stick-2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24">
    <w:name w:val="std-mai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25">
    <w:name w:val="std-pager-bt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26">
    <w:name w:val="kpi-value"/>
    <w:basedOn w:val="1"/>
    <w:qFormat/>
    <w:uiPriority w:val="0"/>
    <w:pPr>
      <w:jc w:val="left"/>
    </w:pPr>
    <w:rPr>
      <w:kern w:val="0"/>
      <w:sz w:val="33"/>
      <w:szCs w:val="33"/>
      <w:lang w:val="en-US" w:eastAsia="zh-CN" w:bidi="ar"/>
    </w:rPr>
  </w:style>
  <w:style w:type="paragraph" w:customStyle="1" w:styleId="127">
    <w:name w:val="kpi-value2"/>
    <w:basedOn w:val="1"/>
    <w:qFormat/>
    <w:uiPriority w:val="0"/>
    <w:pPr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128">
    <w:name w:val="ck-gauge"/>
    <w:basedOn w:val="1"/>
    <w:qFormat/>
    <w:uiPriority w:val="0"/>
    <w:pPr>
      <w:jc w:val="center"/>
    </w:pPr>
    <w:rPr>
      <w:kern w:val="0"/>
      <w:lang w:val="en-US" w:eastAsia="zh-CN" w:bidi="ar"/>
    </w:rPr>
  </w:style>
  <w:style w:type="paragraph" w:customStyle="1" w:styleId="129">
    <w:name w:val="gk-2r-r&gt;spa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30">
    <w:name w:val="gk-wide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31">
    <w:name w:val="stick"/>
    <w:basedOn w:val="1"/>
    <w:qFormat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32">
    <w:name w:val="stick2"/>
    <w:basedOn w:val="1"/>
    <w:qFormat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33">
    <w:name w:val="stick4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34">
    <w:name w:val="gk-card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35">
    <w:name w:val="stick-r2"/>
    <w:basedOn w:val="1"/>
    <w:qFormat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36">
    <w:name w:val="stick-r22"/>
    <w:basedOn w:val="1"/>
    <w:qFormat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37">
    <w:name w:val="stick-r24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38">
    <w:name w:val="stick-r"/>
    <w:basedOn w:val="1"/>
    <w:qFormat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39">
    <w:name w:val="stick-r3"/>
    <w:basedOn w:val="1"/>
    <w:qFormat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40">
    <w:name w:val="stick-r5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41">
    <w:name w:val="layou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2">
    <w:name w:val="gk-wide-lef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3">
    <w:name w:val="stick-1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44">
    <w:name w:val="gq-fil-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45">
    <w:name w:val="progress-bar"/>
    <w:basedOn w:val="1"/>
    <w:qFormat/>
    <w:uiPriority w:val="0"/>
    <w:pPr>
      <w:shd w:val="clear" w:fill="E5E7EB"/>
      <w:jc w:val="left"/>
    </w:pPr>
    <w:rPr>
      <w:kern w:val="0"/>
      <w:lang w:val="en-US" w:eastAsia="zh-CN" w:bidi="ar"/>
    </w:rPr>
  </w:style>
  <w:style w:type="paragraph" w:customStyle="1" w:styleId="146">
    <w:name w:val="kpi-trend-row"/>
    <w:basedOn w:val="1"/>
    <w:qFormat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47">
    <w:name w:val="std-status"/>
    <w:basedOn w:val="1"/>
    <w:qFormat/>
    <w:uiPriority w:val="0"/>
    <w:pPr>
      <w:jc w:val="left"/>
    </w:pPr>
    <w:rPr>
      <w:kern w:val="0"/>
      <w:sz w:val="19"/>
      <w:szCs w:val="19"/>
      <w:lang w:val="en-US" w:eastAsia="zh-CN" w:bidi="ar"/>
    </w:rPr>
  </w:style>
  <w:style w:type="paragraph" w:customStyle="1" w:styleId="148">
    <w:name w:val="std-page-siz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49">
    <w:name w:val="std-page-dots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50">
    <w:name w:val="std-overlay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51">
    <w:name w:val="std-drawer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52">
    <w:name w:val="std-drawer-hea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customStyle="1" w:styleId="153">
    <w:name w:val="cock-desc"/>
    <w:basedOn w:val="1"/>
    <w:qFormat/>
    <w:uiPriority w:val="0"/>
    <w:pPr>
      <w:spacing w:before="0" w:beforeAutospacing="0" w:after="180" w:afterAutospacing="0"/>
      <w:ind w:left="0" w:right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54">
    <w:name w:val="cock-desc2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color w:val="6F8BAB"/>
      <w:kern w:val="0"/>
      <w:sz w:val="18"/>
      <w:szCs w:val="18"/>
      <w:lang w:val="en-US" w:eastAsia="zh-CN" w:bidi="ar"/>
    </w:rPr>
  </w:style>
  <w:style w:type="paragraph" w:customStyle="1" w:styleId="155">
    <w:name w:val="std-drawer-code"/>
    <w:basedOn w:val="1"/>
    <w:qFormat/>
    <w:uiPriority w:val="0"/>
    <w:pPr>
      <w:spacing w:before="90" w:beforeAutospacing="0"/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customStyle="1" w:styleId="156">
    <w:name w:val="std-drawer-tags"/>
    <w:basedOn w:val="1"/>
    <w:qFormat/>
    <w:uiPriority w:val="0"/>
    <w:pPr>
      <w:spacing w:before="150" w:beforeAutospacing="0"/>
      <w:jc w:val="left"/>
    </w:pPr>
    <w:rPr>
      <w:kern w:val="0"/>
      <w:lang w:val="en-US" w:eastAsia="zh-CN" w:bidi="ar"/>
    </w:rPr>
  </w:style>
  <w:style w:type="paragraph" w:customStyle="1" w:styleId="157">
    <w:name w:val="std-drawer-clos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sz w:val="19"/>
      <w:szCs w:val="19"/>
      <w:lang w:val="en-US" w:eastAsia="zh-CN" w:bidi="ar"/>
    </w:rPr>
  </w:style>
  <w:style w:type="paragraph" w:customStyle="1" w:styleId="158">
    <w:name w:val="std-group"/>
    <w:basedOn w:val="1"/>
    <w:qFormat/>
    <w:uiPriority w:val="0"/>
    <w:pPr>
      <w:spacing w:after="270" w:afterAutospacing="0"/>
      <w:jc w:val="left"/>
    </w:pPr>
    <w:rPr>
      <w:kern w:val="0"/>
      <w:lang w:val="en-US" w:eastAsia="zh-CN" w:bidi="ar"/>
    </w:rPr>
  </w:style>
  <w:style w:type="paragraph" w:customStyle="1" w:styleId="159">
    <w:name w:val="std-tab-pane"/>
    <w:basedOn w:val="1"/>
    <w:qFormat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160">
    <w:name w:val="gk-mcal-tab"/>
    <w:basedOn w:val="1"/>
    <w:qFormat/>
    <w:uiPriority w:val="0"/>
    <w:pPr>
      <w:pBdr>
        <w:top w:val="single" w:color="CFE0F4" w:sz="6" w:space="2"/>
        <w:left w:val="single" w:color="CFE0F4" w:sz="6" w:space="8"/>
        <w:bottom w:val="single" w:color="CFE0F4" w:sz="6" w:space="2"/>
        <w:right w:val="single" w:color="CFE0F4" w:sz="6" w:space="8"/>
      </w:pBdr>
      <w:shd w:val="clear" w:fill="F4F9FF"/>
      <w:jc w:val="left"/>
    </w:pPr>
    <w:rPr>
      <w:b/>
      <w:bCs/>
      <w:color w:val="51708F"/>
      <w:spacing w:val="8"/>
      <w:kern w:val="0"/>
      <w:sz w:val="15"/>
      <w:szCs w:val="15"/>
      <w:lang w:val="en-US" w:eastAsia="zh-CN" w:bidi="ar"/>
    </w:rPr>
  </w:style>
  <w:style w:type="paragraph" w:customStyle="1" w:styleId="161">
    <w:name w:val="assess-tag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DCE8F8"/>
      <w:spacing w:line="24" w:lineRule="atLeast"/>
      <w:jc w:val="left"/>
    </w:pPr>
    <w:rPr>
      <w:b/>
      <w:bCs/>
      <w:color w:val="2A5298"/>
      <w:kern w:val="0"/>
      <w:sz w:val="16"/>
      <w:szCs w:val="16"/>
      <w:lang w:val="en-US" w:eastAsia="zh-CN" w:bidi="ar"/>
    </w:rPr>
  </w:style>
  <w:style w:type="paragraph" w:customStyle="1" w:styleId="162">
    <w:name w:val="gk-numblock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3">
    <w:name w:val="gk-numblock2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4">
    <w:name w:val="gk-numblock4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5">
    <w:name w:val="gk-gaug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66">
    <w:name w:val="kpi-unit"/>
    <w:basedOn w:val="1"/>
    <w:qFormat/>
    <w:uiPriority w:val="0"/>
    <w:pPr>
      <w:ind w:left="150"/>
      <w:jc w:val="left"/>
    </w:pPr>
    <w:rPr>
      <w:spacing w:val="8"/>
      <w:kern w:val="0"/>
      <w:sz w:val="18"/>
      <w:szCs w:val="18"/>
      <w:lang w:val="en-US" w:eastAsia="zh-CN" w:bidi="ar"/>
    </w:rPr>
  </w:style>
  <w:style w:type="paragraph" w:customStyle="1" w:styleId="167">
    <w:name w:val="side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12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68">
    <w:name w:val="nav-paren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0" w:afterAutospacing="0"/>
      <w:jc w:val="left"/>
    </w:pPr>
    <w:rPr>
      <w:b/>
      <w:bCs/>
      <w:spacing w:val="15"/>
      <w:kern w:val="0"/>
      <w:sz w:val="20"/>
      <w:szCs w:val="20"/>
      <w:lang w:val="en-US" w:eastAsia="zh-CN" w:bidi="ar"/>
    </w:rPr>
  </w:style>
  <w:style w:type="paragraph" w:customStyle="1" w:styleId="169">
    <w:name w:val="ck-gauge-sub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170">
    <w:name w:val="nav-children"/>
    <w:basedOn w:val="1"/>
    <w:qFormat/>
    <w:uiPriority w:val="0"/>
    <w:pPr>
      <w:pBdr>
        <w:left w:val="none" w:color="auto" w:sz="0" w:space="0"/>
      </w:pBdr>
      <w:jc w:val="left"/>
    </w:pPr>
    <w:rPr>
      <w:vanish/>
      <w:kern w:val="0"/>
      <w:lang w:val="en-US" w:eastAsia="zh-CN" w:bidi="ar"/>
    </w:rPr>
  </w:style>
  <w:style w:type="paragraph" w:customStyle="1" w:styleId="171">
    <w:name w:val="nav-group-hea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15" w:afterAutospacing="0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72">
    <w:name w:val="nav-empt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B0B6BF"/>
      <w:kern w:val="0"/>
      <w:sz w:val="16"/>
      <w:szCs w:val="16"/>
      <w:lang w:val="en-US" w:eastAsia="zh-CN" w:bidi="ar"/>
    </w:rPr>
  </w:style>
  <w:style w:type="paragraph" w:customStyle="1" w:styleId="173">
    <w:name w:val="fz-selec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74">
    <w:name w:val="dim-dash"/>
    <w:basedOn w:val="1"/>
    <w:qFormat/>
    <w:uiPriority w:val="0"/>
    <w:pPr>
      <w:jc w:val="left"/>
    </w:pPr>
    <w:rPr>
      <w:rFonts w:ascii="黑体" w:hAnsi="宋体" w:eastAsia="黑体" w:cs="黑体"/>
      <w:b/>
      <w:bCs/>
      <w:color w:val="6F7B88"/>
      <w:spacing w:val="30"/>
      <w:kern w:val="0"/>
      <w:lang w:val="en-US" w:eastAsia="zh-CN" w:bidi="ar"/>
    </w:rPr>
  </w:style>
  <w:style w:type="paragraph" w:customStyle="1" w:styleId="175">
    <w:name w:val="tsub-ico"/>
    <w:basedOn w:val="1"/>
    <w:qFormat/>
    <w:uiPriority w:val="0"/>
    <w:pPr>
      <w:pBdr>
        <w:top w:val="single" w:color="D8EAFB" w:sz="6" w:space="0"/>
        <w:left w:val="single" w:color="D8EAFB" w:sz="6" w:space="0"/>
        <w:bottom w:val="single" w:color="D8EAFB" w:sz="6" w:space="0"/>
        <w:right w:val="single" w:color="D8EAFB" w:sz="6" w:space="0"/>
      </w:pBdr>
      <w:shd w:val="clear" w:fill="EAF4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76">
    <w:name w:val="kpi-car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77">
    <w:name w:val="progress-text"/>
    <w:basedOn w:val="1"/>
    <w:qFormat/>
    <w:uiPriority w:val="0"/>
    <w:pPr>
      <w:jc w:val="left"/>
    </w:pPr>
    <w:rPr>
      <w:b/>
      <w:bCs/>
      <w:kern w:val="0"/>
      <w:sz w:val="16"/>
      <w:szCs w:val="16"/>
      <w:lang w:val="en-US" w:eastAsia="zh-CN" w:bidi="ar"/>
    </w:rPr>
  </w:style>
  <w:style w:type="paragraph" w:customStyle="1" w:styleId="178">
    <w:name w:val="panel-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179">
    <w:name w:val="panel-title"/>
    <w:basedOn w:val="1"/>
    <w:qFormat/>
    <w:uiPriority w:val="0"/>
    <w:pPr>
      <w:jc w:val="left"/>
    </w:pPr>
    <w:rPr>
      <w:b/>
      <w:bCs/>
      <w:kern w:val="0"/>
      <w:sz w:val="24"/>
      <w:szCs w:val="24"/>
      <w:lang w:val="en-US" w:eastAsia="zh-CN" w:bidi="ar"/>
    </w:rPr>
  </w:style>
  <w:style w:type="paragraph" w:customStyle="1" w:styleId="180">
    <w:name w:val="panel-actio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81">
    <w:name w:val="query-freq-label"/>
    <w:basedOn w:val="1"/>
    <w:qFormat/>
    <w:uiPriority w:val="0"/>
    <w:pPr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82">
    <w:name w:val="table-card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83">
    <w:name w:val="query-freq-valu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EF3FA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84">
    <w:name w:val="gk-stat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185">
    <w:name w:val="y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86">
    <w:name w:val="ym-label"/>
    <w:basedOn w:val="1"/>
    <w:qFormat/>
    <w:uiPriority w:val="0"/>
    <w:pPr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87">
    <w:name w:val="cock-compan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88">
    <w:name w:val="cock-company-head"/>
    <w:basedOn w:val="1"/>
    <w:qFormat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189">
    <w:name w:val="cock-group-title"/>
    <w:basedOn w:val="1"/>
    <w:qFormat/>
    <w:uiPriority w:val="0"/>
    <w:pPr>
      <w:pBdr>
        <w:left w:val="none" w:color="auto" w:sz="0" w:space="0"/>
      </w:pBdr>
      <w:spacing w:before="150" w:beforeAutospacing="0" w:after="90" w:afterAutospacing="0"/>
      <w:ind w:left="0" w:right="0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90">
    <w:name w:val="cock-chart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91">
    <w:name w:val="chart-car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92">
    <w:name w:val="ck-bar"/>
    <w:basedOn w:val="1"/>
    <w:qFormat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193">
    <w:name w:val="chart-title"/>
    <w:basedOn w:val="1"/>
    <w:qFormat/>
    <w:uiPriority w:val="0"/>
    <w:pPr>
      <w:spacing w:after="15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194">
    <w:name w:val="ck-leg-nam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95">
    <w:name w:val="gk-strip"/>
    <w:basedOn w:val="1"/>
    <w:qFormat/>
    <w:uiPriority w:val="0"/>
    <w:pPr>
      <w:pBdr>
        <w:top w:val="single" w:color="D8EAFB" w:sz="6" w:space="6"/>
        <w:left w:val="single" w:color="D8EAFB" w:sz="6" w:space="9"/>
        <w:bottom w:val="single" w:color="D8EAFB" w:sz="6" w:space="6"/>
        <w:right w:val="single" w:color="D8EAFB" w:sz="6" w:space="9"/>
      </w:pBdr>
      <w:shd w:val="clear" w:fill="F4FAFF"/>
      <w:spacing w:before="210" w:beforeAutospacing="0" w:after="180" w:afterAutospacing="0"/>
      <w:ind w:left="0" w:right="0"/>
      <w:jc w:val="left"/>
    </w:pPr>
    <w:rPr>
      <w:b/>
      <w:bCs/>
      <w:spacing w:val="30"/>
      <w:kern w:val="0"/>
      <w:sz w:val="22"/>
      <w:szCs w:val="22"/>
      <w:lang w:val="en-US" w:eastAsia="zh-CN" w:bidi="ar"/>
    </w:rPr>
  </w:style>
  <w:style w:type="paragraph" w:customStyle="1" w:styleId="196">
    <w:name w:val="cat-filter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197">
    <w:name w:val="ck-vbars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98">
    <w:name w:val="ck-vba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99">
    <w:name w:val="ck-vbar-col"/>
    <w:basedOn w:val="1"/>
    <w:qFormat/>
    <w:uiPriority w:val="0"/>
    <w:pPr>
      <w:spacing w:before="0" w:beforeAutospacing="1"/>
      <w:jc w:val="left"/>
    </w:pPr>
    <w:rPr>
      <w:kern w:val="0"/>
      <w:lang w:val="en-US" w:eastAsia="zh-CN" w:bidi="ar"/>
    </w:rPr>
  </w:style>
  <w:style w:type="paragraph" w:customStyle="1" w:styleId="200">
    <w:name w:val="caliber-tabs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201">
    <w:name w:val="ck-axis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202">
    <w:name w:val="toas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sz w:val="19"/>
      <w:szCs w:val="19"/>
      <w:lang w:val="en-US" w:eastAsia="zh-CN" w:bidi="ar"/>
    </w:rPr>
  </w:style>
  <w:style w:type="paragraph" w:customStyle="1" w:styleId="203">
    <w:name w:val="bt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204">
    <w:name w:val="gq-meta"/>
    <w:basedOn w:val="1"/>
    <w:qFormat/>
    <w:uiPriority w:val="0"/>
    <w:pPr>
      <w:jc w:val="left"/>
    </w:pPr>
    <w:rPr>
      <w:color w:val="EAF6FF"/>
      <w:kern w:val="0"/>
      <w:sz w:val="18"/>
      <w:szCs w:val="18"/>
      <w:lang w:val="en-US" w:eastAsia="zh-CN" w:bidi="ar"/>
    </w:rPr>
  </w:style>
  <w:style w:type="paragraph" w:customStyle="1" w:styleId="205">
    <w:name w:val="btn-primary"/>
    <w:basedOn w:val="1"/>
    <w:qFormat/>
    <w:uiPriority w:val="0"/>
    <w:pPr>
      <w:jc w:val="left"/>
    </w:pPr>
    <w:rPr>
      <w:color w:val="FFFFFF"/>
      <w:kern w:val="0"/>
      <w:lang w:val="en-US" w:eastAsia="zh-CN" w:bidi="ar"/>
    </w:rPr>
  </w:style>
  <w:style w:type="paragraph" w:customStyle="1" w:styleId="206">
    <w:name w:val="caliber-tab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207">
    <w:name w:val="kpi-row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208">
    <w:name w:val="gq-bar-bg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09">
    <w:name w:val="gk-2r-r"/>
    <w:basedOn w:val="1"/>
    <w:qFormat/>
    <w:uiPriority w:val="0"/>
    <w:pPr>
      <w:jc w:val="left"/>
    </w:pPr>
    <w:rPr>
      <w:kern w:val="0"/>
      <w:sz w:val="16"/>
      <w:szCs w:val="16"/>
      <w:lang w:val="en-US" w:eastAsia="zh-CN" w:bidi="ar"/>
    </w:rPr>
  </w:style>
  <w:style w:type="paragraph" w:customStyle="1" w:styleId="210">
    <w:name w:val="gk-stat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1">
    <w:name w:val="gq-fil-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2">
    <w:name w:val="gq-bar-lef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3">
    <w:name w:val="gq-sel"/>
    <w:basedOn w:val="1"/>
    <w:qFormat/>
    <w:uiPriority w:val="0"/>
    <w:pPr>
      <w:pBdr>
        <w:top w:val="single" w:color="CFE0F4" w:sz="6" w:space="4"/>
        <w:left w:val="single" w:color="CFE0F4" w:sz="6" w:space="7"/>
        <w:bottom w:val="single" w:color="CFE0F4" w:sz="6" w:space="4"/>
        <w:right w:val="single" w:color="CFE0F4" w:sz="6" w:space="7"/>
      </w:pBdr>
      <w:shd w:val="clear" w:fill="FFFFFF"/>
      <w:jc w:val="left"/>
    </w:pPr>
    <w:rPr>
      <w:b/>
      <w:bCs/>
      <w:color w:val="33475F"/>
      <w:kern w:val="0"/>
      <w:sz w:val="19"/>
      <w:szCs w:val="19"/>
      <w:lang w:val="en-US" w:eastAsia="zh-CN" w:bidi="ar"/>
    </w:rPr>
  </w:style>
  <w:style w:type="paragraph" w:customStyle="1" w:styleId="214">
    <w:name w:val="gk-calswitch"/>
    <w:basedOn w:val="1"/>
    <w:qFormat/>
    <w:uiPriority w:val="0"/>
    <w:pPr>
      <w:spacing w:before="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15">
    <w:name w:val="gq-sel-ico"/>
    <w:basedOn w:val="1"/>
    <w:qFormat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216">
    <w:name w:val="gq-sel-chev"/>
    <w:basedOn w:val="1"/>
    <w:qFormat/>
    <w:uiPriority w:val="0"/>
    <w:pPr>
      <w:jc w:val="left"/>
    </w:pPr>
    <w:rPr>
      <w:color w:val="7D94AD"/>
      <w:kern w:val="0"/>
      <w:sz w:val="16"/>
      <w:szCs w:val="16"/>
      <w:lang w:val="en-US" w:eastAsia="zh-CN" w:bidi="ar"/>
    </w:rPr>
  </w:style>
  <w:style w:type="paragraph" w:customStyle="1" w:styleId="217">
    <w:name w:val="topnav-sub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vanish/>
      <w:kern w:val="0"/>
      <w:lang w:val="en-US" w:eastAsia="zh-CN" w:bidi="ar"/>
    </w:rPr>
  </w:style>
  <w:style w:type="paragraph" w:customStyle="1" w:styleId="218">
    <w:name w:val="gq-titl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9">
    <w:name w:val="fz-select-list"/>
    <w:basedOn w:val="1"/>
    <w:qFormat/>
    <w:uiPriority w:val="0"/>
    <w:pPr>
      <w:pBdr>
        <w:top w:val="single" w:color="CFE0F4" w:sz="6" w:space="3"/>
        <w:left w:val="single" w:color="CFE0F4" w:sz="6" w:space="3"/>
        <w:bottom w:val="single" w:color="CFE0F4" w:sz="6" w:space="3"/>
        <w:right w:val="single" w:color="CFE0F4" w:sz="6" w:space="3"/>
      </w:pBdr>
      <w:shd w:val="clear" w:fill="FFFFFF"/>
      <w:jc w:val="left"/>
    </w:pPr>
    <w:rPr>
      <w:vanish/>
      <w:kern w:val="0"/>
      <w:lang w:val="en-US" w:eastAsia="zh-CN" w:bidi="ar"/>
    </w:rPr>
  </w:style>
  <w:style w:type="paragraph" w:customStyle="1" w:styleId="220">
    <w:name w:val="topnav-dro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21">
    <w:name w:val="topnav-sub-cap"/>
    <w:basedOn w:val="1"/>
    <w:qFormat/>
    <w:uiPriority w:val="0"/>
    <w:pPr>
      <w:pBdr>
        <w:top w:val="none" w:color="auto" w:sz="0" w:space="0"/>
        <w:left w:val="none" w:color="auto" w:sz="0" w:space="0"/>
        <w:bottom w:val="dashed" w:color="DCEAFA" w:sz="6" w:space="5"/>
        <w:right w:val="none" w:color="auto" w:sz="0" w:space="0"/>
      </w:pBdr>
      <w:spacing w:after="90" w:afterAutospacing="0"/>
      <w:jc w:val="left"/>
    </w:pPr>
    <w:rPr>
      <w:color w:val="8AA2BD"/>
      <w:spacing w:val="30"/>
      <w:kern w:val="0"/>
      <w:sz w:val="15"/>
      <w:szCs w:val="15"/>
      <w:lang w:val="en-US" w:eastAsia="zh-CN" w:bidi="ar"/>
    </w:rPr>
  </w:style>
  <w:style w:type="paragraph" w:customStyle="1" w:styleId="222">
    <w:name w:val="topnav-chev"/>
    <w:basedOn w:val="1"/>
    <w:qFormat/>
    <w:uiPriority w:val="0"/>
    <w:pPr>
      <w:ind w:left="75"/>
      <w:jc w:val="left"/>
    </w:pPr>
    <w:rPr>
      <w:kern w:val="0"/>
      <w:sz w:val="15"/>
      <w:szCs w:val="15"/>
      <w:lang w:val="en-US" w:eastAsia="zh-CN" w:bidi="ar"/>
    </w:rPr>
  </w:style>
  <w:style w:type="paragraph" w:customStyle="1" w:styleId="223">
    <w:name w:val="gk-row"/>
    <w:basedOn w:val="1"/>
    <w:qFormat/>
    <w:uiPriority w:val="0"/>
    <w:pPr>
      <w:spacing w:after="60" w:afterAutospacing="0"/>
      <w:jc w:val="left"/>
    </w:pPr>
    <w:rPr>
      <w:kern w:val="0"/>
      <w:lang w:val="en-US" w:eastAsia="zh-CN" w:bidi="ar"/>
    </w:rPr>
  </w:style>
  <w:style w:type="paragraph" w:customStyle="1" w:styleId="224">
    <w:name w:val="gk-info"/>
    <w:basedOn w:val="1"/>
    <w:qFormat/>
    <w:uiPriority w:val="0"/>
    <w:pPr>
      <w:ind w:left="0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225">
    <w:name w:val="gk-tip"/>
    <w:basedOn w:val="1"/>
    <w:qFormat/>
    <w:uiPriority w:val="0"/>
    <w:pPr>
      <w:spacing w:line="15" w:lineRule="atLeast"/>
      <w:ind w:left="90"/>
      <w:jc w:val="left"/>
      <w:textAlignment w:val="auto"/>
    </w:pPr>
    <w:rPr>
      <w:b/>
      <w:bCs/>
      <w:color w:val="FFFFFF"/>
      <w:kern w:val="0"/>
      <w:sz w:val="15"/>
      <w:szCs w:val="15"/>
      <w:lang w:val="en-US" w:eastAsia="zh-CN" w:bidi="ar"/>
    </w:rPr>
  </w:style>
  <w:style w:type="paragraph" w:customStyle="1" w:styleId="226">
    <w:name w:val="gk-tip-floa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vanish/>
      <w:color w:val="FFFFFF"/>
      <w:spacing w:val="8"/>
      <w:kern w:val="0"/>
      <w:sz w:val="18"/>
      <w:szCs w:val="18"/>
      <w:lang w:val="en-US" w:eastAsia="zh-CN" w:bidi="ar"/>
    </w:rPr>
  </w:style>
  <w:style w:type="paragraph" w:customStyle="1" w:styleId="227">
    <w:name w:val="gk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28">
    <w:name w:val="gk-np-cap"/>
    <w:basedOn w:val="1"/>
    <w:qFormat/>
    <w:uiPriority w:val="0"/>
    <w:pPr>
      <w:spacing w:after="75" w:afterAutospacing="0"/>
      <w:jc w:val="left"/>
    </w:pPr>
    <w:rPr>
      <w:spacing w:val="15"/>
      <w:kern w:val="0"/>
      <w:sz w:val="15"/>
      <w:szCs w:val="15"/>
      <w:lang w:val="en-US" w:eastAsia="zh-CN" w:bidi="ar"/>
    </w:rPr>
  </w:style>
  <w:style w:type="paragraph" w:customStyle="1" w:styleId="229">
    <w:name w:val="ll"/>
    <w:basedOn w:val="1"/>
    <w:qFormat/>
    <w:uiPriority w:val="0"/>
    <w:pPr>
      <w:pBdr>
        <w:top w:val="single" w:color="2F9BF2" w:sz="12" w:space="0"/>
        <w:left w:val="single" w:color="2F9BF2" w:sz="12" w:space="0"/>
        <w:bottom w:val="single" w:color="2F9BF2" w:sz="12" w:space="0"/>
        <w:right w:val="single" w:color="2F9BF2" w:sz="12" w:space="0"/>
      </w:pBdr>
      <w:shd w:val="clear" w:fill="FFFFFF"/>
      <w:ind w:right="75"/>
      <w:jc w:val="left"/>
    </w:pPr>
    <w:rPr>
      <w:kern w:val="0"/>
      <w:lang w:val="en-US" w:eastAsia="zh-CN" w:bidi="ar"/>
    </w:rPr>
  </w:style>
  <w:style w:type="paragraph" w:customStyle="1" w:styleId="230">
    <w:name w:val="gk-trend12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1">
    <w:name w:val="gk-wide-card"/>
    <w:basedOn w:val="1"/>
    <w:qFormat/>
    <w:uiPriority w:val="0"/>
    <w:pP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232">
    <w:name w:val="gk-wide-card2"/>
    <w:basedOn w:val="1"/>
    <w:qFormat/>
    <w:uiPriority w:val="0"/>
    <w:pPr>
      <w:spacing w:after="210" w:afterAutospacing="0"/>
      <w:jc w:val="left"/>
    </w:pPr>
    <w:rPr>
      <w:kern w:val="0"/>
      <w:lang w:val="en-US" w:eastAsia="zh-CN" w:bidi="ar"/>
    </w:rPr>
  </w:style>
  <w:style w:type="paragraph" w:customStyle="1" w:styleId="233">
    <w:name w:val="kpi-trend-nam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4">
    <w:name w:val="kpi-delta"/>
    <w:basedOn w:val="1"/>
    <w:qFormat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235">
    <w:name w:val="kpi-delta2"/>
    <w:basedOn w:val="1"/>
    <w:qFormat/>
    <w:uiPriority w:val="0"/>
    <w:pPr>
      <w:jc w:val="left"/>
    </w:pPr>
    <w:rPr>
      <w:rFonts w:hint="default" w:ascii="Courier New" w:hAnsi="Courier New" w:cs="Courier New"/>
      <w:b/>
      <w:bCs/>
      <w:kern w:val="0"/>
      <w:lang w:val="en-US" w:eastAsia="zh-CN" w:bidi="ar"/>
    </w:rPr>
  </w:style>
  <w:style w:type="paragraph" w:customStyle="1" w:styleId="236">
    <w:name w:val="gk-t12-hove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7">
    <w:name w:val="gk-2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8">
    <w:name w:val="gk-2r-lin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9">
    <w:name w:val="gk-2r-v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0">
    <w:name w:val="gk-caltab"/>
    <w:basedOn w:val="1"/>
    <w:qFormat/>
    <w:uiPriority w:val="0"/>
    <w:pPr>
      <w:pBdr>
        <w:top w:val="single" w:color="B9D7F5" w:sz="6" w:space="4"/>
        <w:left w:val="single" w:color="B9D7F5" w:sz="6" w:space="10"/>
        <w:bottom w:val="single" w:color="B9D7F5" w:sz="6" w:space="4"/>
        <w:right w:val="single" w:color="B9D7F5" w:sz="6" w:space="10"/>
      </w:pBdr>
      <w:shd w:val="clear" w:fill="FFFFFF"/>
      <w:jc w:val="left"/>
    </w:pPr>
    <w:rPr>
      <w:b/>
      <w:bCs/>
      <w:color w:val="33475F"/>
      <w:spacing w:val="8"/>
      <w:kern w:val="0"/>
      <w:sz w:val="18"/>
      <w:szCs w:val="18"/>
      <w:lang w:val="en-US" w:eastAsia="zh-CN" w:bidi="ar"/>
    </w:rPr>
  </w:style>
  <w:style w:type="paragraph" w:customStyle="1" w:styleId="241">
    <w:name w:val="gk-mcal-body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2">
    <w:name w:val="gk-mcal-tab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3">
    <w:name w:val="kpi-label"/>
    <w:basedOn w:val="1"/>
    <w:qFormat/>
    <w:uiPriority w:val="0"/>
    <w:pPr>
      <w:spacing w:after="90" w:afterAutospacing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244">
    <w:name w:val="kpi-trends"/>
    <w:basedOn w:val="1"/>
    <w:qFormat/>
    <w:uiPriority w:val="0"/>
    <w:pPr>
      <w:spacing w:before="120" w:beforeAutospacing="0"/>
      <w:jc w:val="left"/>
    </w:pPr>
    <w:rPr>
      <w:kern w:val="0"/>
      <w:lang w:val="en-US" w:eastAsia="zh-CN" w:bidi="ar"/>
    </w:rPr>
  </w:style>
  <w:style w:type="paragraph" w:customStyle="1" w:styleId="245">
    <w:name w:val="collapse-arrow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246">
    <w:name w:val="collapse-hint"/>
    <w:basedOn w:val="1"/>
    <w:qFormat/>
    <w:uiPriority w:val="0"/>
    <w:pPr>
      <w:ind w:left="0"/>
      <w:jc w:val="left"/>
    </w:pPr>
    <w:rPr>
      <w:color w:val="9CA3AF"/>
      <w:kern w:val="0"/>
      <w:sz w:val="16"/>
      <w:szCs w:val="16"/>
      <w:lang w:val="en-US" w:eastAsia="zh-CN" w:bidi="ar"/>
    </w:rPr>
  </w:style>
  <w:style w:type="paragraph" w:customStyle="1" w:styleId="247">
    <w:name w:val="delta-arrow"/>
    <w:basedOn w:val="1"/>
    <w:qFormat/>
    <w:uiPriority w:val="0"/>
    <w:pPr>
      <w:spacing w:line="15" w:lineRule="atLeast"/>
      <w:ind w:right="45"/>
      <w:jc w:val="left"/>
    </w:pPr>
    <w:rPr>
      <w:rFonts w:ascii="Arial" w:hAnsi="Arial" w:cs="Arial"/>
      <w:kern w:val="0"/>
      <w:sz w:val="13"/>
      <w:szCs w:val="13"/>
      <w:lang w:val="en-US" w:eastAsia="zh-CN" w:bidi="ar"/>
    </w:rPr>
  </w:style>
  <w:style w:type="paragraph" w:customStyle="1" w:styleId="248">
    <w:name w:val="cat-filter-label"/>
    <w:basedOn w:val="1"/>
    <w:qFormat/>
    <w:uiPriority w:val="0"/>
    <w:pPr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249">
    <w:name w:val="progress-fil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50">
    <w:name w:val="caliber-tab-sub"/>
    <w:basedOn w:val="1"/>
    <w:qFormat/>
    <w:uiPriority w:val="0"/>
    <w:pPr>
      <w:spacing w:line="21" w:lineRule="atLeast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251">
    <w:name w:val="cat-filter-bt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b/>
      <w:bCs/>
      <w:kern w:val="0"/>
      <w:sz w:val="19"/>
      <w:szCs w:val="19"/>
      <w:lang w:val="en-US" w:eastAsia="zh-CN" w:bidi="ar"/>
    </w:rPr>
  </w:style>
  <w:style w:type="character" w:customStyle="1" w:styleId="252">
    <w:name w:val="ph1"/>
    <w:basedOn w:val="15"/>
    <w:qFormat/>
    <w:uiPriority w:val="0"/>
    <w:rPr>
      <w:rFonts w:ascii="黑体" w:hAnsi="宋体" w:eastAsia="黑体" w:cs="黑体"/>
      <w:b/>
      <w:bCs/>
      <w:color w:val="404040"/>
      <w:spacing w:val="0"/>
    </w:rPr>
  </w:style>
  <w:style w:type="character" w:customStyle="1" w:styleId="253">
    <w:name w:val="cnt7"/>
    <w:basedOn w:val="15"/>
    <w:qFormat/>
    <w:uiPriority w:val="0"/>
    <w:rPr>
      <w:b/>
      <w:bCs/>
      <w:color w:val="C8962E"/>
      <w:sz w:val="18"/>
      <w:szCs w:val="18"/>
    </w:rPr>
  </w:style>
  <w:style w:type="character" w:customStyle="1" w:styleId="254">
    <w:name w:val="hl-exp1"/>
    <w:basedOn w:val="15"/>
    <w:qFormat/>
    <w:uiPriority w:val="0"/>
    <w:rPr>
      <w:b/>
      <w:bCs/>
      <w:color w:val="000000"/>
      <w:shd w:val="clear" w:fill="FFF2CC"/>
    </w:rPr>
  </w:style>
  <w:style w:type="character" w:customStyle="1" w:styleId="255">
    <w:name w:val="xmark1"/>
    <w:basedOn w:val="15"/>
    <w:qFormat/>
    <w:uiPriority w:val="0"/>
    <w:rPr>
      <w:b/>
      <w:bCs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12457</Words>
  <Characters>13570</Characters>
  <TotalTime>0</TotalTime>
  <ScaleCrop>false</ScaleCrop>
  <LinksUpToDate>false</LinksUpToDate>
  <CharactersWithSpaces>14011</CharactersWithSpaces>
  <Application>WPS Office_12.8.2.19315_F1E327BC-269C-435d-A152-05C5408002CA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2026-10-09T03:41:00Z</dcterms:created>
  <dc:creator>ex-liaox003</dc:creator>
  <cp:lastModifiedBy>ex-liaox003</cp:lastModifiedBy>
  <dcterms:modified xsi:type="dcterms:W3CDTF">2026-10-09T05:30:21Z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4F43E2BE4EF3420ABCE32AA4395D3242_13</vt:lpwstr>
  </property>
</Properties>
</file>