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ОТЧЁТ ПО ПРАКТИЧЕСКОЙ РАБОТЕ</w:t>
      </w:r>
    </w:p>
    <w:p>
      <w:pPr>
        <w:jc w:val="center"/>
      </w:pPr>
      <w:r>
        <w:rPr>
          <w:b/>
          <w:sz w:val="28"/>
        </w:rPr>
        <w:t xml:space="preserve">Неделя 2. Transaction Detective: разбор транзакций Solana</w:t>
      </w:r>
    </w:p>
    <w:p>
      <w:pPr>
        <w:jc w:val="center"/>
      </w:pPr>
      <w:r>
        <w:rPr>
          <w:b w:val="0"/>
          <w:sz w:val="22"/>
          <w:szCs w:val="22"/>
        </w:rPr>
        <w:t xml:space="preserve">Выполнил: Бимано Алишер</w:t>
      </w:r>
    </w:p>
    <w:p>
      <w:r>
        <w:rPr>
          <w:b w:val="0"/>
        </w:rPr>
        <w:t xml:space="preserve">Цель работы: посмотреть, из чего состоят реальные переводы в Solana Devnet: какие в них аккаунты, инструкции и программы и кто платит комиссию.</w:t>
      </w:r>
    </w:p>
    <w:p>
      <w:pPr>
        <w:pStyle w:val="Heading1"/>
      </w:pPr>
      <w:r>
        <w:t>Исследуемая транзакция</w:t>
      </w:r>
    </w:p>
    <w:p>
      <w:pPr>
        <w:jc w:val="both"/>
      </w:pPr>
      <w:r>
        <w:rPr/>
        <w:t xml:space="preserve">Я взял два перевода между теми же аккаунтами A и B. Первый перевод на 0,001 SOL был в работе за неделю 1. Во втором я отправил 0,002 SOL и добавил Memo. Оба перевода прошли и получили Finalized. В первом одна инструкция, во втором две.</w:t>
      </w:r>
    </w:p>
    <w:p>
      <w:pPr>
        <w:pStyle w:val="Heading1"/>
      </w:pPr>
      <w:r>
        <w:t>1. Разбор основной инструкции Transfer</w:t>
      </w:r>
    </w:p>
    <w:p>
      <w:pPr>
        <w:jc w:val="both"/>
      </w:pPr>
      <w:r>
        <w:rPr/>
        <w:t xml:space="preserve">В первом переводе System Program отправила 1 000 000 lamports. Отправитель — GthSheRw2tjCYCzq7sft6mZxZVDh8qN7JfvmGuce6V67 (A). Он отмечен как signer, writable и fee payer: подписал перевод, его баланс изменился, он заплатил комиссию. Получатель — CySviauxxDzwVKTL2auhgo4XuJLt3w7VfxKawvAQYB1N (B). Он отмечен как writable. Адрес System Program: 11111111111111111111111111111111.</w:t>
      </w:r>
    </w:p>
    <w:p>
      <w:pPr>
        <w:jc w:val="center"/>
        <w:keepNext w:val="1"/>
      </w:pPr>
      <w:r>
        <w:drawing>
          <wp:inline xmlns:a="http://schemas.openxmlformats.org/drawingml/2006/main" xmlns:pic="http://schemas.openxmlformats.org/drawingml/2006/picture">
            <wp:extent cx="3840480" cy="38987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0926-110128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898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 xml:space="preserve">Рисунок 1 — Инструкция первого перевода на 0,001 SOL.</w:t>
      </w:r>
    </w:p>
    <w:p>
      <w:pPr>
        <w:pStyle w:val="Heading1"/>
      </w:pPr>
      <w:r>
        <w:rPr/>
        <w:t xml:space="preserve">2. Транзакция с дополнительной инструкцией Memo</w:t>
      </w:r>
    </w:p>
    <w:p>
      <w:pPr>
        <w:jc w:val="both"/>
      </w:pPr>
      <w:r>
        <w:rPr/>
        <w:t xml:space="preserve">Во втором переводе есть две инструкции. System Program отправляет 0,002 SOL, а Memo Program добавляет в журнал текст «Solana course weeks 1-3: transaction detective». Адрес Memo Program: MemoSq4gqABAXKb96qnH8TysNcWxMyWCqXgDLGmfcHr. Для Memo указан подписант A. Обе инструкции записаны прямо в одной транзакции; одна программа не вызывает другую. Отдельных инструкций Compute Budget здесь нет.</w:t>
      </w:r>
    </w:p>
    <w:p>
      <w:pPr>
        <w:jc w:val="center"/>
        <w:keepNext w:val="1"/>
      </w:pPr>
      <w:r>
        <w:drawing>
          <wp:inline xmlns:a="http://schemas.openxmlformats.org/drawingml/2006/main" xmlns:pic="http://schemas.openxmlformats.org/drawingml/2006/picture">
            <wp:extent cx="3840480" cy="38987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0926-11040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898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 xml:space="preserve">Рисунок 2 — Заметка Memo и журнал её успешного выполнения.</w:t>
      </w:r>
    </w:p>
    <w:p>
      <w:pPr>
        <w:pStyle w:val="Heading1"/>
      </w:pPr>
      <w:r>
        <w:rPr/>
        <w:t xml:space="preserve">3. Raw-представление транзакции</w:t>
      </w:r>
    </w:p>
    <w:p>
      <w:pPr>
        <w:jc w:val="both"/>
      </w:pPr>
      <w:r>
        <w:rPr/>
        <w:t xml:space="preserve">Я сохранил ответ RPC в файле transfer-memo.json и посмотрел его поля. В transaction лежат подпись и список инструкций. В meta записан результат: err = null, комиссия 5 000 lamports, потрачено 31 818 compute units. Версия — legacy, slot — 505901468. Ниже — часть этого файла.</w:t>
      </w:r>
    </w:p>
    <w:p>
      <w:pPr>
        <w:jc w:val="center"/>
        <w:keepNext w:val="1"/>
      </w:pPr>
      <w:r>
        <w:drawing>
          <wp:inline xmlns:a="http://schemas.openxmlformats.org/drawingml/2006/main" xmlns:pic="http://schemas.openxmlformats.org/drawingml/2006/picture">
            <wp:extent cx="6035040" cy="21579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0926-111012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157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 xml:space="preserve">Рисунок 3 — Фрагмент исходных данных RPC для перевода с Memo.</w:t>
      </w:r>
    </w:p>
    <w:p>
      <w:pPr>
        <w:pStyle w:val="Heading1"/>
      </w:pPr>
      <w:r>
        <w:t>4. Accounts</w:t>
      </w:r>
    </w:p>
    <w:p>
      <w:pPr>
        <w:jc w:val="both"/>
      </w:pPr>
      <w:r>
        <w:rPr/>
        <w:t xml:space="preserve">Во втором переводе в accountKeys четыре адреса: A, B, System Program и Memo Program. Signer означает, что аккаунт подписал транзакцию. Writable означает, что его данные можно изменить. У A стоят оба признака, у B только writable.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  <w:tblHeader/>
        </w:trPr>
        <w:tc>
          <w:tcPr>
            <w:tcW w:type="dxa" w:w="2556"/>
          </w:tcPr>
          <w:p>
            <w:pPr>
              <w:keepNext w:val="1"/>
            </w:pPr>
            <w:r>
              <w:rPr/>
              <w:t xml:space="preserve">№</w:t>
            </w:r>
          </w:p>
        </w:tc>
        <w:tc>
          <w:tcPr>
            <w:tcW w:type="dxa" w:w="2556"/>
          </w:tcPr>
          <w:p>
            <w:pPr>
              <w:keepNext w:val="1"/>
            </w:pPr>
            <w:r>
              <w:rPr/>
              <w:t xml:space="preserve">Адрес / объект</w:t>
            </w:r>
          </w:p>
        </w:tc>
        <w:tc>
          <w:tcPr>
            <w:tcW w:type="dxa" w:w="2556"/>
          </w:tcPr>
          <w:p>
            <w:pPr>
              <w:keepNext w:val="1"/>
            </w:pPr>
            <w:r>
              <w:rPr/>
              <w:t xml:space="preserve">Writable</w:t>
            </w:r>
          </w:p>
        </w:tc>
        <w:tc>
          <w:tcPr>
            <w:tcW w:type="dxa" w:w="2556"/>
          </w:tcPr>
          <w:p>
            <w:pPr>
              <w:keepNext w:val="1"/>
            </w:pPr>
            <w:r>
              <w:rPr/>
              <w:t xml:space="preserve">Signer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rPr/>
              <w:t xml:space="preserve">0</w:t>
            </w:r>
          </w:p>
        </w:tc>
        <w:tc>
          <w:tcPr>
            <w:tcW w:type="dxa" w:w="2556"/>
          </w:tcPr>
          <w:p>
            <w:r>
              <w:rPr/>
              <w:t xml:space="preserve">GthSheRw2tjCYCzq7sft6mZxZVDh8qN7JfvmGuce6V67 — отправитель</w:t>
            </w:r>
          </w:p>
        </w:tc>
        <w:tc>
          <w:tcPr>
            <w:tcW w:type="dxa" w:w="2556"/>
          </w:tcPr>
          <w:p>
            <w:r>
              <w:rPr/>
              <w:t xml:space="preserve">true</w:t>
            </w:r>
          </w:p>
        </w:tc>
        <w:tc>
          <w:tcPr>
            <w:tcW w:type="dxa" w:w="2556"/>
          </w:tcPr>
          <w:p>
            <w:r>
              <w:rPr/>
              <w:t xml:space="preserve">true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rPr/>
              <w:t xml:space="preserve">1</w:t>
            </w:r>
          </w:p>
        </w:tc>
        <w:tc>
          <w:tcPr>
            <w:tcW w:type="dxa" w:w="2556"/>
          </w:tcPr>
          <w:p>
            <w:r>
              <w:rPr/>
              <w:t xml:space="preserve">CySviauxxDzwVKTL2auhgo4XuJLt3w7VfxKawvAQYB1N — получатель</w:t>
            </w:r>
          </w:p>
        </w:tc>
        <w:tc>
          <w:tcPr>
            <w:tcW w:type="dxa" w:w="2556"/>
          </w:tcPr>
          <w:p>
            <w:r>
              <w:rPr/>
              <w:t xml:space="preserve">true</w:t>
            </w:r>
          </w:p>
        </w:tc>
        <w:tc>
          <w:tcPr>
            <w:tcW w:type="dxa" w:w="2556"/>
          </w:tcPr>
          <w:p>
            <w:r>
              <w:rPr/>
              <w:t xml:space="preserve">false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rPr/>
              <w:t xml:space="preserve">2</w:t>
            </w:r>
          </w:p>
        </w:tc>
        <w:tc>
          <w:tcPr>
            <w:tcW w:type="dxa" w:w="2556"/>
          </w:tcPr>
          <w:p>
            <w:r>
              <w:rPr/>
              <w:t xml:space="preserve">11111111111111111111111111111111 — System Program</w:t>
            </w:r>
          </w:p>
        </w:tc>
        <w:tc>
          <w:tcPr>
            <w:tcW w:type="dxa" w:w="2556"/>
          </w:tcPr>
          <w:p>
            <w:r>
              <w:rPr/>
              <w:t xml:space="preserve">false</w:t>
            </w:r>
          </w:p>
        </w:tc>
        <w:tc>
          <w:tcPr>
            <w:tcW w:type="dxa" w:w="2556"/>
          </w:tcPr>
          <w:p>
            <w:r>
              <w:rPr/>
              <w:t xml:space="preserve">false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rPr/>
              <w:t xml:space="preserve">3</w:t>
            </w:r>
          </w:p>
        </w:tc>
        <w:tc>
          <w:tcPr>
            <w:tcW w:type="dxa" w:w="2556"/>
          </w:tcPr>
          <w:p>
            <w:r>
              <w:rPr/>
              <w:t xml:space="preserve">MemoSq4gqABAXKb96qnH8TysNcWxMyWCqXgDLGmfcHr — Memo Program</w:t>
            </w:r>
          </w:p>
        </w:tc>
        <w:tc>
          <w:tcPr>
            <w:tcW w:type="dxa" w:w="2556"/>
          </w:tcPr>
          <w:p>
            <w:r>
              <w:rPr/>
              <w:t xml:space="preserve">false</w:t>
            </w:r>
          </w:p>
        </w:tc>
        <w:tc>
          <w:tcPr>
            <w:tcW w:type="dxa" w:w="2556"/>
          </w:tcPr>
          <w:p>
            <w:r>
              <w:rPr/>
              <w:t xml:space="preserve">false</w:t>
            </w:r>
          </w:p>
        </w:tc>
      </w:tr>
    </w:tbl>
    <w:p>
      <w:pPr>
        <w:jc w:val="center"/>
        <w:keepNext w:val="1"/>
      </w:pPr>
      <w:r>
        <w:drawing>
          <wp:inline xmlns:a="http://schemas.openxmlformats.org/drawingml/2006/main" xmlns:pic="http://schemas.openxmlformats.org/drawingml/2006/picture">
            <wp:extent cx="3840480" cy="38987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0926-111654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898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 xml:space="preserve">Рисунок 4 — Четыре account keys транзакции с Memo.</w:t>
      </w:r>
    </w:p>
    <w:p>
      <w:pPr>
        <w:pStyle w:val="Heading1"/>
      </w:pPr>
      <w:r>
        <w:t>5. Instructions и Programs</w:t>
      </w:r>
    </w:p>
    <w:p>
      <w:pPr>
        <w:jc w:val="both"/>
      </w:pPr>
      <w:r>
        <w:rPr/>
        <w:t xml:space="preserve">Во втором переводе две инструкции. Сначала System Program перевела 2 000 000 lamports с A на B. Затем Memo Program проверила текст и подпись A и записала заметку в журнал. Дополнительных внутренних инструкций нет. В первом переводе была только одна инструкция Transfer.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3408"/>
          </w:tcPr>
          <w:p>
            <w:pPr>
              <w:keepNext w:val="1"/>
            </w:pPr>
            <w:r>
              <w:rPr/>
              <w:t xml:space="preserve">№</w:t>
            </w:r>
          </w:p>
        </w:tc>
        <w:tc>
          <w:tcPr>
            <w:tcW w:type="dxa" w:w="3408"/>
          </w:tcPr>
          <w:p>
            <w:pPr>
              <w:keepNext w:val="1"/>
            </w:pPr>
            <w:r>
              <w:rPr/>
              <w:t xml:space="preserve">Program</w:t>
            </w:r>
          </w:p>
        </w:tc>
        <w:tc>
          <w:tcPr>
            <w:tcW w:type="dxa" w:w="3408"/>
          </w:tcPr>
          <w:p>
            <w:pPr>
              <w:keepNext w:val="1"/>
            </w:pPr>
            <w:r>
              <w:rPr/>
              <w:t xml:space="preserve">Назначение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rPr/>
              <w:t xml:space="preserve">#1</w:t>
            </w:r>
          </w:p>
        </w:tc>
        <w:tc>
          <w:tcPr>
            <w:tcW w:type="dxa" w:w="3408"/>
          </w:tcPr>
          <w:p>
            <w:r>
              <w:rPr/>
              <w:t xml:space="preserve">System Program</w:t>
            </w:r>
          </w:p>
        </w:tc>
        <w:tc>
          <w:tcPr>
            <w:tcW w:type="dxa" w:w="3408"/>
          </w:tcPr>
          <w:p>
            <w:r>
              <w:rPr/>
              <w:t xml:space="preserve">Transfer — перевод 0,002 SOL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rPr/>
              <w:t xml:space="preserve">#2</w:t>
            </w:r>
          </w:p>
        </w:tc>
        <w:tc>
          <w:tcPr>
            <w:tcW w:type="dxa" w:w="3408"/>
          </w:tcPr>
          <w:p>
            <w:r>
              <w:rPr/>
              <w:t xml:space="preserve">Memo Program</w:t>
            </w:r>
          </w:p>
        </w:tc>
        <w:tc>
          <w:tcPr>
            <w:tcW w:type="dxa" w:w="3408"/>
          </w:tcPr>
          <w:p>
            <w:r>
              <w:rPr/>
              <w:t xml:space="preserve">Memo — проверка подписи и запись заметки в журнал</w:t>
            </w:r>
          </w:p>
        </w:tc>
      </w:tr>
    </w:tbl>
    <w:p>
      <w:pPr>
        <w:jc w:val="center"/>
        <w:keepNext w:val="1"/>
      </w:pPr>
      <w:r>
        <w:drawing>
          <wp:inline xmlns:a="http://schemas.openxmlformats.org/drawingml/2006/main" xmlns:pic="http://schemas.openxmlformats.org/drawingml/2006/picture">
            <wp:extent cx="6035040" cy="302209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0926-111831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22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 xml:space="preserve">Рисунок 5 — Обе инструкции из сохранённого RPC-ответа.</w:t>
      </w:r>
    </w:p>
    <w:p>
      <w:pPr>
        <w:pStyle w:val="Heading1"/>
      </w:pPr>
      <w:r>
        <w:t>Итоговый разбор</w:t>
      </w:r>
    </w:p>
    <w:p>
      <w:pPr>
        <w:jc w:val="both"/>
      </w:pPr>
      <w:r>
        <w:rPr/>
        <w:t xml:space="preserve">В этих переводах аккаунты показывают участников и программы, а инструкции — что именно нужно сделать. В обоих случаях A подписал транзакцию и оплатил комиссию. Во втором переводе его баланс уменьшился с 998 995 000 до 996 990 000 lamports. Баланс B вырос с 1 000 000 до 3 000 000 lamports. Комиссия каждого перевода — 5 000 lamports. Первый потратил 150 compute units, второй — 31 818. Одинаковая комиссия в этих двух случаях не означает, что так будет всегда.</w:t>
      </w:r>
    </w:p>
    <w:p>
      <w:pPr>
        <w:pStyle w:val="Heading1"/>
      </w:pPr>
      <w:r>
        <w:t>Вывод</w:t>
      </w:r>
    </w:p>
    <w:p>
      <w:pPr>
        <w:jc w:val="both"/>
      </w:pPr>
      <w:r>
        <w:rPr/>
        <w:t xml:space="preserve">Я разобрал два настоящих перевода в Devnet. Нашёл отправителя, получателя, программы и инструкции, проверил комиссию и изменения балансов. Оба перевода прошли. Их можно открыть по ссылкам ниже, а данные RPC сохранены вместе с проектом.</w:t>
      </w:r>
    </w:p>
    <w:p>
      <w:hyperlink r:id="rIdProof1">
        <w:r>
          <w:rPr>
            <w:color w:val="0563C1"/>
          </w:rPr>
          <w:t>Первый перевод в Explorer</w:t>
        </w:r>
      </w:hyperlink>
    </w:p>
    <w:p>
      <w:hyperlink r:id="rIdProof2">
        <w:r>
          <w:rPr>
            <w:color w:val="0563C1"/>
          </w:rPr>
          <w:t>Перевод с Memo в Explorer</w:t>
        </w:r>
      </w:hyperlink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Proof1" Type="http://schemas.openxmlformats.org/officeDocument/2006/relationships/hyperlink" Target="https://explorer.solana.com/tx/4tr2LyQi2eUEFnr7NRH6adyichZEm5NrKNSzrzdRCNyaUJrjzPBZHPdMxUqpJEnvxNykCpvhTq41cMCtRSAPPDCj?cluster=devnet" TargetMode="External"/><Relationship Id="rIdProof2" Type="http://schemas.openxmlformats.org/officeDocument/2006/relationships/hyperlink" Target="https://explorer.solana.com/tx/2D8JeEBRGvkSRqr8KLL4ji6TidRkpYtkUbQ6zT4CaeGZotwpuqD6xnZXDi1Cpt8vUoWF148uRDuN7RKSX6MxjX1C?cluster=dev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Неделя 2 Бимано Алишер</dc:title>
  <dc:subject/>
  <dc:creator>Бимано Алишер</dc:creator>
  <cp:keywords/>
  <dc:description>Отчёт по практической работе за неделю 2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