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26"/>
        </w:rPr>
        <w:t>ОТЧЁТ ПО ПРАКТИЧЕСКОЙ РАБОТЕ</w:t>
      </w:r>
    </w:p>
    <w:p>
      <w:pPr>
        <w:spacing w:after="100"/>
        <w:jc w:val="center"/>
      </w:pPr>
      <w:r>
        <w:rPr>
          <w:rFonts w:ascii="Arial" w:hAnsi="Arial"/>
          <w:b/>
          <w:sz w:val="26"/>
        </w:rPr>
        <w:t>Неделя 7. Свой токен ALPR</w:t>
      </w:r>
    </w:p>
    <w:p>
      <w:pPr>
        <w:spacing w:after="240"/>
        <w:jc w:val="center"/>
      </w:pPr>
      <w:r>
        <w:rPr>
          <w:rFonts w:ascii="Arial" w:hAnsi="Arial"/>
          <w:b w:val="0"/>
          <w:sz w:val="22"/>
        </w:rPr>
        <w:t>Выполнил: Бимано Алишер</w:t>
      </w:r>
    </w:p>
    <w:p>
      <w:pPr>
        <w:spacing w:after="180" w:line="276" w:lineRule="auto"/>
      </w:pPr>
      <w:r>
        <w:rPr>
          <w:rFonts w:ascii="Arial" w:hAnsi="Arial"/>
          <w:b w:val="0"/>
          <w:sz w:val="22"/>
        </w:rPr>
        <w:t>Цель работы: создать токен, выпустить его, добавить метаданные и отправить часть другому кошельку.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1. Выпуск токена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Я создал токен Alisher Profile Token с символом ALPR через Token 2022. Имя и символ хранятся в метаданных самого mint. У токена 2 знака после запятой. Всего я выпустил 1000 ALPR, то есть 100 000 минимальных единиц. Ссылку на картинку я не добавлял, поэтому поле URI пустое.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2. Перевод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Я создал токеновые аккаунты для двух учебных кошельков и отправил получателю 25 ALPR. После перевода у отправителя осталось 975 ALPR, у получателя — 25 ALPR. Транзакция завершилась успешно.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120"/>
      </w:tblGrid>
      <w:tr>
        <w:trPr>
          <w:cantSplit/>
          <w:tblHeader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Проверка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Mint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CiLa9Mxo4pTNoRV2qwdgcZZVWBjAdnanEyqn3oYFwCUc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Программа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Token 2022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Выпущено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1000 ALPR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Переведено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25 ALPR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Остаток отправителя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975 ALPR</w:t>
            </w:r>
          </w:p>
        </w:tc>
      </w:tr>
    </w:tbl>
    <w:p>
      <w:pPr>
        <w:spacing w:after="0"/>
      </w:pP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40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7-tok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sz w:val="18"/>
        </w:rPr>
        <w:t>Рисунок 1 — Mint ALPR в Explorer: supply, decimals и расширения метаданных.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40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7-trans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sz w:val="18"/>
        </w:rPr>
        <w:t>Рисунок 2 — Успешная транзакция перевода ALPR.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Вывод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Токен создан в Devnet, его имя и символ записаны on-chain. Выпуск и перевод подтверждаются адресом mint и транзакцией.</w:t>
      </w:r>
    </w:p>
    <w:p>
      <w:pPr>
        <w:spacing w:after="60"/>
      </w:pPr>
      <w:hyperlink r:id="rId11">
        <w:r>
          <w:rPr>
            <w:color w:val="0563C1"/>
          </w:rPr>
          <w:t>Открыть токен в Explorer</w:t>
        </w:r>
      </w:hyperlink>
    </w:p>
    <w:p>
      <w:pPr>
        <w:spacing w:after="60"/>
      </w:pPr>
      <w:hyperlink r:id="rId12">
        <w:r>
          <w:rPr>
            <w:color w:val="0563C1"/>
          </w:rPr>
          <w:t>Открыть перевод в Explorer</w:t>
        </w:r>
      </w:hyperlink>
    </w:p>
    <w:sectPr w:rsidR="00FC693F" w:rsidRPr="0006063C" w:rsidSect="00034616"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explorer.solana.com/address/CiLa9Mxo4pTNoRV2qwdgcZZVWBjAdnanEyqn3oYFwCUc?cluster=devnet" TargetMode="External"/><Relationship Id="rId12" Type="http://schemas.openxmlformats.org/officeDocument/2006/relationships/hyperlink" Target="https://explorer.solana.com/tx/4dM79kE7H2oQX2epMxU79zcwP4GdDQ2nNmFEMDDw6wBwxgir5XhCHCbtDkF1Eouh7TAgZ3cL7j7iUJ9wFaeBUjXV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