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t>InvoiceFlow отчёт по РК1</w:t>
      </w:r>
    </w:p>
    <w:p>
      <w:pPr>
        <w:spacing w:after="120"/>
        <w:jc w:val="center"/>
      </w:pPr>
      <w:r>
        <w:t>Неделя 8 · Бимано Алишер</w:t>
      </w:r>
    </w:p>
    <w:p>
      <w:pPr>
        <w:spacing w:after="120"/>
      </w:pPr>
      <w:r>
        <w:t>Я сделал InvoiceFlow — учебный сервис для выставления счёта и проверки оплаты в Solana Devnet. Исполнитель указывает клиента, название работы и сумму. Программа сохраняет счёт в отдельном PDA. Клиент оплачивает его токеном, после чего статус меняется на «Оплачен».</w:t>
      </w:r>
    </w:p>
    <w:p>
      <w:pPr>
        <w:pStyle w:val="Heading1"/>
        <w:spacing w:after="120"/>
      </w:pPr>
      <w:r>
        <w:t>1. Идея и польза</w:t>
      </w:r>
    </w:p>
    <w:p>
      <w:pPr>
        <w:spacing w:after="120"/>
      </w:pPr>
      <w:r>
        <w:t>Когда заказчик и исполнитель договариваются в чате, им бывает неудобно проверять, какую сумму просили и прошёл ли перевод. Здесь условия счёта и статус можно открыть по публичному адресу. Клиент видит, за что платит, а исполнитель видит результат без ручной отметки.</w:t>
      </w:r>
    </w:p>
    <w:p>
      <w:pPr>
        <w:pStyle w:val="Heading1"/>
        <w:spacing w:after="120"/>
      </w:pPr>
      <w:r>
        <w:t>2. Как работает прототип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Шаг</w:t>
            </w:r>
          </w:p>
        </w:tc>
        <w:tc>
          <w:tcPr>
            <w:tcW w:type="dxa" w:w="4968"/>
          </w:tcPr>
          <w:p>
            <w:r>
              <w:t>Что происходит</w:t>
            </w:r>
          </w:p>
        </w:tc>
      </w:tr>
      <w:tr>
        <w:tc>
          <w:tcPr>
            <w:tcW w:type="dxa" w:w="4968"/>
          </w:tcPr>
          <w:p>
            <w:r>
              <w:t>Создание</w:t>
            </w:r>
          </w:p>
        </w:tc>
        <w:tc>
          <w:tcPr>
            <w:tcW w:type="dxa" w:w="4968"/>
          </w:tcPr>
          <w:p>
            <w:r>
              <w:t>Исполнитель подписывает транзакцию. В PDA записываются его адрес, адрес клиента, сумма, токен и название услуги.</w:t>
            </w:r>
          </w:p>
        </w:tc>
      </w:tr>
      <w:tr>
        <w:tc>
          <w:tcPr>
            <w:tcW w:type="dxa" w:w="4968"/>
          </w:tcPr>
          <w:p>
            <w:r>
              <w:t>Оплата</w:t>
            </w:r>
          </w:p>
        </w:tc>
        <w:tc>
          <w:tcPr>
            <w:tcW w:type="dxa" w:w="4968"/>
          </w:tcPr>
          <w:p>
            <w:r>
              <w:t>Клиент подписывает перевод ALPR. Программа проверяет адреса и токеновые счета, переводит точную сумму и меняет статус одной транзакцией.</w:t>
            </w:r>
          </w:p>
        </w:tc>
      </w:tr>
      <w:tr>
        <w:tc>
          <w:tcPr>
            <w:tcW w:type="dxa" w:w="4968"/>
          </w:tcPr>
          <w:p>
            <w:r>
              <w:t>Проверка</w:t>
            </w:r>
          </w:p>
        </w:tc>
        <w:tc>
          <w:tcPr>
            <w:tcW w:type="dxa" w:w="4968"/>
          </w:tcPr>
          <w:p>
            <w:r>
              <w:t>Сайт читает PDA из Devnet. В Explorer можно открыть счёт и транзакцию оплаты.</w:t>
            </w:r>
          </w:p>
        </w:tc>
      </w:tr>
    </w:tbl>
    <w:p/>
    <w:p>
      <w:pPr>
        <w:spacing w:after="120"/>
      </w:pPr>
      <w:r>
        <w:t>Для демонстрации я создал два счёта: «Дизайн лендинга» на 5 ALPR уже оплачен, а «Логотип для проекта» на 8 ALPR ждёт оплаты. ALPR — учебный токен Token 2022, выпущенный в седьмой неделе. Он не равен доллару и не имеет денежной стоимости.</w:t>
      </w:r>
    </w:p>
    <w:p>
      <w:pPr>
        <w:pStyle w:val="Heading1"/>
        <w:spacing w:after="120"/>
      </w:pPr>
      <w:r>
        <w:t>3. Реальные данные Devnet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</w:tcPr>
          <w:p>
            <w:r>
              <w:rPr>
                <w:sz w:val="18"/>
              </w:rPr>
              <w:t>Что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Адрес или подпись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Программа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5EHY5pYduZMone4MRBy45Lkrrofupq1G3R1ADV9w7qXU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Оплачен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4PH11X1rdkwqsmKKyV8dc7ATAM9YiGn9M7CXomB8WDVn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Оплата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L6BTirqHmcs8dBqwzRrArw6aiSfBAgYzZzqDzU16KE3GRUoJqxoRJdyHskoQeXLNz51e6AFimGuRJFsmtNHuFmM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Ожидает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DFGJFvyRhgMBX5ezN6GMWg4oVU7PdpZZSUwizksgdkSy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ALPR mint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CiLa9Mxo4pTNoRV2qwdgcZZVWBjAdnanEyqn3oYFwCUc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6480" cy="2583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8-invoi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83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Рисунок 1 — InvoiceFlow показывает оплаченный счёт и счёт в ожидании оплаты.</w:t>
      </w:r>
    </w:p>
    <w:p>
      <w:pPr>
        <w:pStyle w:val="Heading1"/>
        <w:spacing w:after="120"/>
      </w:pPr>
      <w:r>
        <w:t>4. Как открыть</w:t>
      </w:r>
    </w:p>
    <w:p>
      <w:pPr>
        <w:spacing w:after="120"/>
      </w:pPr>
      <w:r>
        <w:t>В папке assignments/week4-8 выполнить npm ci и npm run dev. Затем открыть http://127.0.0.1:5173/. Публичные счета видны сразу. Для создания своего счёта или оплаты нужно подключить Phantom в сети Devnet и подтвердить транзакцию. Клиенту нужны учебные ALPR и немного Devnet SOL для комиссии.</w:t>
      </w:r>
    </w:p>
    <w:p>
      <w:pPr>
        <w:pStyle w:val="Heading1"/>
        <w:spacing w:after="120"/>
      </w:pPr>
      <w:r>
        <w:t>Вывод</w:t>
      </w:r>
    </w:p>
    <w:p>
      <w:pPr>
        <w:spacing w:after="120"/>
      </w:pPr>
      <w:r>
        <w:t>Получился работающий прототип: два счёта созданы в Devnet, один из них оплачен, а сайт показывает их текущее состояние. Для настоящего использования понадобятся удобная отправка ссылки клиенту, история счетов для разных кошельков и платёжный токен с реальной стоимостью.</w:t>
      </w:r>
    </w:p>
    <w:sectPr w:rsidR="00FC693F" w:rsidRPr="0006063C" w:rsidSect="00034616"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