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C1C1C"/>
          <w:sz w:val="40"/>
          <w:szCs w:val="40"/>
        </w:rPr>
        <w:t xml:space="preserve">AI Is Reading the Scan. The Doctor Still Makes the Call.</w:t>
      </w:r>
    </w:p>
    <w:p>
      <w:pPr>
        <w:pBdr>
          <w:bottom w:val="single" w:color="7C3AB5" w:sz="8" w:space="2"/>
        </w:pBd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vMerge w:val="restart"/>
            <w:tcBorders>
              <w:top w:val="none" w:color="FFFFFF" w:sz="0"/>
              <w:left w:val="none" w:color="FFFFFF" w:sz="0"/>
              <w:bottom w:val="none" w:color="FFFFFF" w:sz="0"/>
              <w:right w:val="none" w:color="FFFFFF" w:sz="0"/>
            </w:tcBorders>
            <w:shd w:fill="4A1570" w:val="clear"/>
            <w:tcMar>
              <w:top w:type="dxa" w:w="120"/>
              <w:left w:type="dxa" w:w="80"/>
              <w:bottom w:type="dxa" w:w="120"/>
              <w:right w:type="dxa" w:w="80"/>
            </w:tcMar>
            <w:vAlign w:val="center"/>
          </w:tcPr>
          <w:p>
            <w:pPr>
              <w:spacing w:before="0" w:after="180" w:line="308"/>
              <w:jc w:val="center"/>
            </w:pPr>
            <w:r>
              <w:rPr>
                <w:rFonts w:ascii="Arial" w:cs="Arial" w:eastAsia="Arial" w:hAnsi="Arial"/>
                <w:b/>
                <w:bCs/>
                <w:i w:val="false"/>
                <w:iCs w:val="false"/>
                <w:color w:val="FFFFFF"/>
                <w:sz w:val="24"/>
                <w:szCs w:val="24"/>
              </w:rPr>
              <w:t xml:space="preserve">A10</w:t>
            </w:r>
          </w:p>
        </w:tc>
        <w:tc>
          <w:tcPr>
            <w:tcW w:type="dxa" w:w="8640"/>
            <w:tcBorders>
              <w:top w:val="none" w:color="FFFFFF" w:sz="0"/>
              <w:left w:val="none" w:color="FFFFFF" w:sz="0"/>
              <w:bottom w:val="none" w:color="FFFFFF" w:sz="0"/>
              <w:right w:val="none" w:color="FFFFFF" w:sz="0"/>
            </w:tcBorders>
            <w:shd w:fill="4A1570" w:val="clear"/>
            <w:tcMar>
              <w:top w:type="dxa" w:w="100"/>
              <w:left w:type="dxa" w:w="180"/>
              <w:bottom w:type="dxa" w:w="60"/>
              <w:right w:type="dxa" w:w="120"/>
            </w:tcMar>
          </w:tcPr>
          <w:p>
            <w:pPr>
              <w:spacing w:before="0" w:after="180" w:line="308"/>
              <w:jc w:val="left"/>
            </w:pPr>
            <w:r>
              <w:rPr>
                <w:rFonts w:ascii="Arial" w:cs="Arial" w:eastAsia="Arial" w:hAnsi="Arial"/>
                <w:b w:val="false"/>
                <w:bCs w:val="false"/>
                <w:i/>
                <w:iCs/>
                <w:color w:val="CCDFFF"/>
                <w:sz w:val="18"/>
                <w:szCs w:val="18"/>
              </w:rPr>
              <w:t xml:space="preserve">Industry Use Cases / Agentic AI</w:t>
            </w:r>
          </w:p>
        </w:tc>
      </w:tr>
      <w:tr>
        <w:tc>
          <w:tcPr>
            <w:vMerge w:val="continue"/>
            <w:tcBorders>
              <w:top w:val="none" w:color="FFFFFF" w:sz="0"/>
              <w:left w:val="none" w:color="FFFFFF" w:sz="0"/>
              <w:bottom w:val="none" w:color="FFFFFF" w:sz="0"/>
              <w:right w:val="none" w:color="FFFFFF" w:sz="0"/>
            </w:tcBorders>
          </w:tcPr>
          <w:p/>
        </w:tc>
        <w:tc>
          <w:tcPr>
            <w:tcW w:type="dxa" w:w="8640"/>
            <w:tcBorders>
              <w:top w:val="none" w:color="FFFFFF" w:sz="0"/>
              <w:left w:val="none" w:color="FFFFFF" w:sz="0"/>
              <w:bottom w:val="none" w:color="FFFFFF" w:sz="0"/>
              <w:right w:val="none" w:color="FFFFFF" w:sz="0"/>
            </w:tcBorders>
            <w:shd w:fill="EEF5FF" w:val="clear"/>
            <w:tcMar>
              <w:top w:type="dxa" w:w="60"/>
              <w:left w:type="dxa" w:w="180"/>
              <w:bottom w:type="dxa" w:w="60"/>
              <w:right w:type="dxa" w:w="120"/>
            </w:tcMar>
          </w:tcPr>
          <w:p>
            <w:pPr>
              <w:spacing w:before="0" w:after="180" w:line="308"/>
              <w:jc w:val="left"/>
            </w:pPr>
            <w:r>
              <w:rPr>
                <w:rFonts w:ascii="Georgia" w:cs="Georgia" w:eastAsia="Georgia" w:hAnsi="Georgia"/>
                <w:b/>
                <w:bCs/>
                <w:i w:val="false"/>
                <w:iCs w:val="false"/>
                <w:color w:val="444444"/>
                <w:sz w:val="18"/>
                <w:szCs w:val="18"/>
              </w:rPr>
              <w:t xml:space="preserve">Last Updated: </w:t>
            </w:r>
            <w:r>
              <w:rPr>
                <w:rFonts w:ascii="Georgia" w:cs="Georgia" w:eastAsia="Georgia" w:hAnsi="Georgia"/>
                <w:b w:val="false"/>
                <w:bCs w:val="false"/>
                <w:i w:val="false"/>
                <w:iCs w:val="false"/>
                <w:color w:val="7C3AB5"/>
                <w:sz w:val="18"/>
                <w:szCs w:val="18"/>
              </w:rPr>
              <w:t xml:space="preserve">March 2026</w:t>
            </w:r>
            <w:r>
              <w:rPr>
                <w:rFonts w:ascii="Georgia" w:cs="Georgia" w:eastAsia="Georgia" w:hAnsi="Georgia"/>
                <w:b w:val="false"/>
                <w:bCs w:val="false"/>
                <w:i w:val="false"/>
                <w:iCs w:val="false"/>
                <w:color w:val="CCCCCC"/>
                <w:sz w:val="18"/>
                <w:szCs w:val="18"/>
              </w:rPr>
              <w:t xml:space="preserve">     |     </w:t>
            </w:r>
            <w:r>
              <w:rPr>
                <w:rFonts w:ascii="Georgia" w:cs="Georgia" w:eastAsia="Georgia" w:hAnsi="Georgia"/>
                <w:b/>
                <w:bCs/>
                <w:i w:val="false"/>
                <w:iCs w:val="false"/>
                <w:color w:val="444444"/>
                <w:sz w:val="18"/>
                <w:szCs w:val="18"/>
              </w:rPr>
              <w:t xml:space="preserve">By: </w:t>
            </w:r>
            <w:r>
              <w:rPr>
                <w:rFonts w:ascii="Georgia" w:cs="Georgia" w:eastAsia="Georgia" w:hAnsi="Georgia"/>
                <w:b w:val="false"/>
                <w:bCs w:val="false"/>
                <w:i w:val="false"/>
                <w:iCs w:val="false"/>
                <w:color w:val="444444"/>
                <w:sz w:val="18"/>
                <w:szCs w:val="18"/>
              </w:rPr>
              <w:t xml:space="preserve">Exact Market AI Practice</w:t>
            </w:r>
          </w:p>
        </w:tc>
      </w:tr>
    </w:tbl>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C3F6E" w:val="clear"/>
            <w:tcMar>
              <w:top w:type="dxa" w:w="120"/>
              <w:left w:type="dxa" w:w="60"/>
              <w:bottom w:type="dxa" w:w="120"/>
              <w:right w:type="dxa" w:w="60"/>
            </w:tcMar>
          </w:tcPr>
          <w:p>
            <w:pPr>
              <w:spacing w:before="0" w:after="180" w:line="308"/>
              <w:jc w:val="center"/>
            </w:pPr>
            <w:r>
              <w:rPr>
                <w:rFonts w:ascii="Georgia" w:cs="Georgia" w:eastAsia="Georgia" w:hAnsi="Georgia"/>
                <w:b/>
                <w:bCs/>
                <w:i w:val="false"/>
                <w:iCs w:val="false"/>
                <w:color w:val="FFFFFF"/>
                <w:sz w:val="52"/>
                <w:szCs w:val="52"/>
              </w:rPr>
              <w:t xml:space="preserve">"</w:t>
            </w:r>
          </w:p>
        </w:tc>
        <w:tc>
          <w:tcPr>
            <w:tcW w:type="dxa" w:w="9160"/>
            <w:tcBorders>
              <w:top w:val="none" w:color="FFFFFF" w:sz="0"/>
              <w:left w:val="none" w:color="FFFFFF" w:sz="0"/>
              <w:bottom w:val="none" w:color="FFFFFF" w:sz="0"/>
              <w:right w:val="none" w:color="FFFFFF" w:sz="0"/>
            </w:tcBorders>
            <w:shd w:fill="F0F4FA" w:val="clear"/>
            <w:tcMar>
              <w:top w:type="dxa" w:w="120"/>
              <w:left w:type="dxa" w:w="180"/>
              <w:bottom w:type="dxa" w:w="120"/>
              <w:right w:type="dxa" w:w="160"/>
            </w:tcMar>
          </w:tcPr>
          <w:p>
            <w:pPr>
              <w:spacing w:before="0" w:after="180" w:line="300"/>
              <w:jc w:val="left"/>
            </w:pPr>
            <w:r>
              <w:rPr>
                <w:rFonts w:ascii="Georgia" w:cs="Georgia" w:eastAsia="Georgia" w:hAnsi="Georgia"/>
                <w:b w:val="false"/>
                <w:bCs w:val="false"/>
                <w:i/>
                <w:iCs/>
                <w:color w:val="333333"/>
                <w:sz w:val="21"/>
                <w:szCs w:val="21"/>
              </w:rPr>
              <w:t xml:space="preserve">It is 11pm in a busy radiology department. There are 200 chest X-rays in the queue. One radiologist. The AI has already flagged three of them — subtle nodules, easy to miss at this hour, on this volume, under this pressure. The radiologist pulls those three first. Looks carefully. Agrees on two. Overrides on one — something in the patient history changes the read. That is not a story about AI replacing a doctor. That is a story about what happens when the right tool is in the right place, doing the right job. Healthcare AI at its best is not autonomous. It is a very good colleague who never gets tired.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3AB5" w:val="clear"/>
            <w:tcMar>
              <w:top w:type="dxa" w:w="100"/>
              <w:left w:type="dxa" w:w="60"/>
              <w:bottom w:type="dxa" w:w="100"/>
              <w:right w:type="dxa" w:w="60"/>
            </w:tcMar>
          </w:tcPr>
          <w:p>
            <w:pPr>
              <w:spacing w:before="0" w:after="180" w:line="308"/>
              <w:jc w:val="center"/>
            </w:pPr>
            <w:r>
              <w:rPr>
                <w:rFonts w:ascii="Arial" w:cs="Arial" w:eastAsia="Arial" w:hAnsi="Arial"/>
                <w:b/>
                <w:bCs/>
                <w:i w:val="false"/>
                <w:iCs w:val="false"/>
                <w:color w:val="FFFFFF"/>
                <w:sz w:val="20"/>
                <w:szCs w:val="20"/>
              </w:rPr>
              <w:t xml:space="preserve">▶</w:t>
            </w:r>
          </w:p>
        </w:tc>
        <w:tc>
          <w:tcPr>
            <w:tcW w:type="dxa" w:w="9120"/>
            <w:tcBorders>
              <w:top w:val="none" w:color="FFFFFF" w:sz="0"/>
              <w:left w:val="none" w:color="FFFFFF" w:sz="0"/>
              <w:bottom w:val="none" w:color="FFFFFF" w:sz="0"/>
              <w:right w:val="none" w:color="FFFFFF" w:sz="0"/>
            </w:tcBorders>
            <w:shd w:fill="EDD6F5" w:val="clear"/>
            <w:tcMar>
              <w:top w:type="dxa" w:w="100"/>
              <w:left w:type="dxa" w:w="160"/>
              <w:bottom w:type="dxa" w:w="100"/>
              <w:right w:type="dxa" w:w="120"/>
            </w:tcMar>
          </w:tcPr>
          <w:p>
            <w:pPr>
              <w:spacing w:before="0" w:after="180" w:line="296"/>
              <w:jc w:val="left"/>
            </w:pPr>
            <w:r>
              <w:rPr>
                <w:rFonts w:ascii="Georgia" w:cs="Georgia" w:eastAsia="Georgia" w:hAnsi="Georgia"/>
                <w:b/>
                <w:bCs/>
                <w:i w:val="false"/>
                <w:iCs w:val="false"/>
                <w:color w:val="4A1570"/>
                <w:sz w:val="21"/>
                <w:szCs w:val="21"/>
              </w:rPr>
              <w:t xml:space="preserve">Quick Answer:  </w:t>
            </w:r>
            <w:r>
              <w:rPr>
                <w:rFonts w:ascii="Georgia" w:cs="Georgia" w:eastAsia="Georgia" w:hAnsi="Georgia"/>
                <w:b w:val="false"/>
                <w:bCs w:val="false"/>
                <w:i w:val="false"/>
                <w:iCs w:val="false"/>
                <w:color w:val="333333"/>
                <w:sz w:val="21"/>
                <w:szCs w:val="21"/>
              </w:rPr>
              <w:t xml:space="preserve">Healthcare AI has moved from research to clinical production in specific, well-validated domains — diagnostic imaging, clinical documentation, and population health management lead the evidence base. Success depends as much on workflow integration and clinical change management as on model performance. Health equity is not optional: AI systems that perform well on average but poorly for specific patient populations create patient safety risk, not just ethical risk.</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none" w:color="FFFFFF" w:sz="0"/>
              <w:left w:val="none" w:color="FFFFFF" w:sz="0"/>
              <w:bottom w:val="none" w:color="FFFFFF" w:sz="0"/>
              <w:right w:val="none" w:color="FFFFFF" w:sz="0"/>
            </w:tcBorders>
            <w:shd w:fill="4A1570" w:val="clear"/>
            <w:tcMar>
              <w:top w:type="dxa" w:w="100"/>
              <w:left w:type="dxa" w:w="160"/>
              <w:bottom w:type="dxa" w:w="100"/>
              <w:right w:type="dxa" w:w="120"/>
            </w:tcMar>
          </w:tcPr>
          <w:p>
            <w:pPr>
              <w:spacing w:before="0" w:after="180" w:line="308"/>
              <w:jc w:val="left"/>
            </w:pPr>
            <w:r>
              <w:rPr>
                <w:rFonts w:ascii="Arial" w:cs="Arial" w:eastAsia="Arial" w:hAnsi="Arial"/>
                <w:b/>
                <w:bCs/>
                <w:i w:val="false"/>
                <w:iCs w:val="false"/>
                <w:color w:val="FFFFFF"/>
                <w:sz w:val="22"/>
                <w:szCs w:val="22"/>
              </w:rPr>
              <w:t xml:space="preserve">Fast Facts</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FDA has cleared over 500 AI-enabled medical devices as of 2025, the majority in radiology and cardiology applications.</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Clinical documentation AI reduces physician documentation time by 30–40% in health systems with mature deployments (Epic, Nuance/Microsoft, 2025).</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AI-assisted diabetic retinopathy screening matches ophthalmologist accuracy in prospective clinical trials — at a fraction of the cost per screen.</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Pulse oximetry AI showed documented lower accuracy for patients with darker skin pigmentation — published in NEJM 2020 and still actively researched.</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Health systems report that clinical AI not integrated into EHR workflows sees adoption rates below 20%, regardless of model performance.</w:t>
            </w:r>
          </w:p>
        </w:tc>
      </w:tr>
      <w:tr>
        <w:tc>
          <w:tcPr>
            <w:tcW w:type="dxa" w:w="360"/>
            <w:tcBorders>
              <w:top w:val="none" w:color="FFFFFF" w:sz="0"/>
              <w:left w:val="none" w:color="FFFFFF" w:sz="0"/>
              <w:bottom w:val="none" w:color="FFFFFF" w:sz="0"/>
              <w:right w:val="none" w:color="FFFFFF" w:sz="0"/>
            </w:tcBorders>
            <w:shd w:fill="EDD6F5" w:val="clear"/>
            <w:tcMar>
              <w:top w:type="dxa" w:w="60"/>
              <w:left w:type="dxa" w:w="120"/>
              <w:bottom w:type="dxa" w:w="60"/>
              <w:right w:type="dxa" w:w="40"/>
            </w:tcMar>
          </w:tcPr>
          <w:p>
            <w:pPr>
              <w:spacing w:before="0" w:after="180" w:line="308"/>
              <w:jc w:val="left"/>
            </w:pPr>
            <w:r>
              <w:rPr>
                <w:rFonts w:ascii="Arial" w:cs="Arial" w:eastAsia="Arial" w:hAnsi="Arial"/>
                <w:b/>
                <w:bCs/>
                <w:i w:val="false"/>
                <w:iCs w:val="false"/>
                <w:color w:val="7C3AB5"/>
                <w:sz w:val="22"/>
                <w:szCs w:val="22"/>
              </w:rPr>
              <w:t xml:space="preserve">›</w:t>
            </w:r>
          </w:p>
        </w:tc>
        <w:tc>
          <w:tcPr>
            <w:tcW w:type="dxa" w:w="9000"/>
            <w:tcBorders>
              <w:top w:val="none" w:color="FFFFFF" w:sz="0"/>
              <w:left w:val="none" w:color="FFFFFF" w:sz="0"/>
              <w:bottom w:val="none" w:color="FFFFFF" w:sz="0"/>
              <w:right w:val="none" w:color="FFFFFF" w:sz="0"/>
            </w:tcBorders>
            <w:shd w:fill="EDD6F5" w:val="clear"/>
            <w:tcMar>
              <w:top w:type="dxa" w:w="60"/>
              <w:left w:type="dxa" w:w="40"/>
              <w:bottom w:type="dxa" w:w="60"/>
              <w:right w:type="dxa" w:w="120"/>
            </w:tcMar>
          </w:tcPr>
          <w:p>
            <w:pPr>
              <w:spacing w:before="0" w:after="180" w:line="284"/>
              <w:jc w:val="left"/>
            </w:pPr>
            <w:r>
              <w:rPr>
                <w:rFonts w:ascii="Georgia" w:cs="Georgia" w:eastAsia="Georgia" w:hAnsi="Georgia"/>
                <w:b w:val="false"/>
                <w:bCs w:val="false"/>
                <w:i w:val="false"/>
                <w:iCs w:val="false"/>
                <w:color w:val="333333"/>
                <w:sz w:val="20"/>
                <w:szCs w:val="20"/>
              </w:rPr>
              <w:t xml:space="preserve">The global healthcare AI market is projected to reach $188 billion by 2030, growing at 37% CAGR (Grand View Research, 2024).</w:t>
            </w:r>
          </w:p>
        </w:tc>
      </w:tr>
    </w:tbl>
    <w:p>
      <w:pPr>
        <w:spacing w:before="240" w:after="0"/>
      </w:pPr>
    </w:p>
    <w:p>
      <w:pPr>
        <w:spacing w:before="0" w:after="180" w:line="308"/>
        <w:jc w:val="left"/>
      </w:pPr>
      <w:r>
        <w:rPr>
          <w:rFonts w:ascii="Georgia" w:cs="Georgia" w:eastAsia="Georgia" w:hAnsi="Georgia"/>
          <w:b w:val="false"/>
          <w:bCs w:val="false"/>
          <w:i w:val="false"/>
          <w:iCs w:val="false"/>
          <w:color w:val="2D2D2D"/>
          <w:sz w:val="22"/>
          <w:szCs w:val="22"/>
        </w:rPr>
        <w:t xml:space="preserve">Healthcare is the domain where the stakes of getting AI right — and the consequences of getting it wrong — are most viscerally human. A misclassified fraud alert costs money. A misread diagnostic scan costs something else entirely. This is why healthcare AI has developed more slowly than its commercial counterparts, why the regulatory framework is more demanding, and why the clinical community has applied a level of scrutiny to AI claims that most other industries have not. That scrutiny has produced something valuable: a genuine evidence base. Healthcare AI is no longer speculative. In specific domains, it is documented, validated, and changing patient outcomes.</w:t>
      </w:r>
    </w:p>
    <w:p>
      <w:pPr>
        <w:spacing w:before="0" w:after="180" w:line="308"/>
        <w:jc w:val="left"/>
      </w:pPr>
      <w:r>
        <w:rPr>
          <w:rFonts w:ascii="Georgia" w:cs="Georgia" w:eastAsia="Georgia" w:hAnsi="Georgia"/>
          <w:b w:val="false"/>
          <w:bCs w:val="false"/>
          <w:i w:val="false"/>
          <w:iCs w:val="false"/>
          <w:color w:val="2D2D2D"/>
          <w:sz w:val="22"/>
          <w:szCs w:val="22"/>
        </w:rPr>
        <w:t xml:space="preserve">But the distance between a validated AI capability and a successfully deployed one is where most healthcare AI programs lose time, money, and clinical goodwill. The model that performs brilliantly in a benchmark study and fails to get used in a clinical environment is not a technology failure. It is an implementation failure — and implementation failures in healthcare AI are far more common than the technology headlines suggest.</w:t>
      </w:r>
    </w:p>
    <w:p>
      <w:pPr>
        <w:spacing w:before="320" w:after="100"/>
      </w:pPr>
      <w:r>
        <w:rPr>
          <w:rFonts w:ascii="Arial" w:cs="Arial" w:eastAsia="Arial" w:hAnsi="Arial"/>
          <w:b/>
          <w:bCs/>
          <w:color w:val="7C3AB5"/>
          <w:sz w:val="25"/>
          <w:szCs w:val="25"/>
        </w:rPr>
        <w:t xml:space="preserve">Where Does Clinical AI Have the Strongest Evidence?</w:t>
      </w:r>
    </w:p>
    <w:p>
      <w:pPr>
        <w:spacing w:before="0" w:after="180" w:line="308"/>
        <w:jc w:val="left"/>
      </w:pPr>
      <w:r>
        <w:rPr>
          <w:rFonts w:ascii="Georgia" w:cs="Georgia" w:eastAsia="Georgia" w:hAnsi="Georgia"/>
          <w:b w:val="false"/>
          <w:bCs w:val="false"/>
          <w:i w:val="false"/>
          <w:iCs w:val="false"/>
          <w:color w:val="2D2D2D"/>
          <w:sz w:val="22"/>
          <w:szCs w:val="22"/>
        </w:rPr>
        <w:t xml:space="preserve">Diagnostic imaging is where the evidence base is deepest and the regulatory pathway most established. FDA-cleared AI applications now span chest X-ray interpretation, diabetic retinopathy screening, breast cancer detection in mammography, cardiac AI for echocardiography and ECG analysis, and stroke detection in CT imaging. These are not emerging capabilities. They are in clinical use, with prospective validation data — the kind that compares AI-assisted versus unassisted clinical performance on real patient outcomes, not just benchmark datasets. That distinction matters enormously in a clinical evidence context.</w:t>
      </w:r>
    </w:p>
    <w:p>
      <w:pPr>
        <w:spacing w:before="0" w:after="180" w:line="308"/>
        <w:jc w:val="left"/>
      </w:pPr>
      <w:r>
        <w:rPr>
          <w:rFonts w:ascii="Georgia" w:cs="Georgia" w:eastAsia="Georgia" w:hAnsi="Georgia"/>
          <w:b w:val="false"/>
          <w:bCs w:val="false"/>
          <w:i w:val="false"/>
          <w:iCs w:val="false"/>
          <w:color w:val="2D2D2D"/>
          <w:sz w:val="22"/>
          <w:szCs w:val="22"/>
        </w:rPr>
        <w:t xml:space="preserve">Clinical documentation AI has achieved rapid adoption for a different reason: it directly addresses one of the most acute pain points in modern medicine without touching clinical decision-making. Physician burnout from documentation burden is well-documented and measurable. AI that converts physician-patient conversations into structured clinical notes — deployed through Epic, Oracle Health, and Nuance — returns hours per week to clinicians without requiring them to change how they diagnose or treat. The implementation risk is lower. The adoption curve is faster. And the outcomes — physician satisfaction, time at bedside, documentation accuracy — are straightforward to measure.</w:t>
      </w:r>
    </w:p>
    <w:p>
      <w:pPr>
        <w:spacing w:before="320" w:after="100"/>
      </w:pPr>
      <w:r>
        <w:rPr>
          <w:rFonts w:ascii="Arial" w:cs="Arial" w:eastAsia="Arial" w:hAnsi="Arial"/>
          <w:b/>
          <w:bCs/>
          <w:color w:val="7C3AB5"/>
          <w:sz w:val="25"/>
          <w:szCs w:val="25"/>
        </w:rPr>
        <w:t xml:space="preserve">Why Does Workflow Integration Determine Whether Any of This Works?</w:t>
      </w:r>
    </w:p>
    <w:p>
      <w:pPr>
        <w:spacing w:before="0" w:after="180" w:line="308"/>
        <w:jc w:val="left"/>
      </w:pPr>
      <w:r>
        <w:rPr>
          <w:rFonts w:ascii="Georgia" w:cs="Georgia" w:eastAsia="Georgia" w:hAnsi="Georgia"/>
          <w:b w:val="false"/>
          <w:bCs w:val="false"/>
          <w:i w:val="false"/>
          <w:iCs w:val="false"/>
          <w:color w:val="2D2D2D"/>
          <w:sz w:val="22"/>
          <w:szCs w:val="22"/>
        </w:rPr>
        <w:t xml:space="preserve">The most consistent finding across clinical AI implementation research is also the most consistently ignored: technically capable AI that is not integrated into clinical workflows does not get used. This sounds obvious. The implementation record suggests it is not obvious enough. AI diagnostic tools that require clinicians to leave their EHR to consult a separate application. Alert systems that fire so frequently they become background noise. AI recommendations presented without enough context for a clinician to evaluate them quickly under time pressure. Each of these is a workflow integration failure, and each produces the same outcome: the tool exists, the adoption rate is 15%, and nobody can explain why the model that performed so well in validation is sitting unused.</w:t>
      </w:r>
    </w:p>
    <w:p>
      <w:pPr>
        <w:spacing w:before="0" w:after="180" w:line="308"/>
        <w:jc w:val="left"/>
      </w:pPr>
      <w:r>
        <w:rPr>
          <w:rFonts w:ascii="Georgia" w:cs="Georgia" w:eastAsia="Georgia" w:hAnsi="Georgia"/>
          <w:b w:val="false"/>
          <w:bCs w:val="false"/>
          <w:i w:val="false"/>
          <w:iCs w:val="false"/>
          <w:color w:val="2D2D2D"/>
          <w:sz w:val="22"/>
          <w:szCs w:val="22"/>
        </w:rPr>
        <w:t xml:space="preserve">The health systems with the strongest clinical AI track records treat implementation as the hard part, not the afterthought. They engage clinical champions from the affected specialty before deployment, not after. They co-design workflow integration with frontline staff who know where the friction actually lives. They build feedback mechanisms that allow clinicians to flag when AI behavior does not match clinical reality. And they iterate on implementation based on real-world use — not just the evaluation metrics from the study that justified the purchase.</w:t>
      </w:r>
    </w:p>
    <w:p>
      <w:pPr>
        <w:spacing w:before="320" w:after="100"/>
      </w:pPr>
      <w:r>
        <w:rPr>
          <w:rFonts w:ascii="Arial" w:cs="Arial" w:eastAsia="Arial" w:hAnsi="Arial"/>
          <w:b/>
          <w:bCs/>
          <w:color w:val="7C3AB5"/>
          <w:sz w:val="25"/>
          <w:szCs w:val="25"/>
        </w:rPr>
        <w:t xml:space="preserve">Why Is Health Equity the Clinical AI Issue Nobody Can Afford to Ignore?</w:t>
      </w:r>
    </w:p>
    <w:p>
      <w:pPr>
        <w:spacing w:before="0" w:after="180" w:line="308"/>
        <w:jc w:val="left"/>
      </w:pPr>
      <w:r>
        <w:rPr>
          <w:rFonts w:ascii="Georgia" w:cs="Georgia" w:eastAsia="Georgia" w:hAnsi="Georgia"/>
          <w:b w:val="false"/>
          <w:bCs w:val="false"/>
          <w:i w:val="false"/>
          <w:iCs w:val="false"/>
          <w:color w:val="2D2D2D"/>
          <w:sz w:val="22"/>
          <w:szCs w:val="22"/>
        </w:rPr>
        <w:t xml:space="preserve">Healthcare AI trained on historical clinical data inherits the inequities embedded in that data. This is not a theoretical concern. It is a documented patient safety issue with published cases. Pulse oximetry algorithms demonstrated lower accuracy for patients with darker skin pigmentation — a finding published in the New England Journal of Medicine in 2020 that prompted FDA review. Dermatology AI trained predominantly on lighter-skinned patient images showed performance degradation on darker skin tones. Sepsis prediction models showed differential performance across racial groups in real clinical deployments.</w:t>
      </w:r>
    </w:p>
    <w:p>
      <w:pPr>
        <w:spacing w:before="0" w:after="180" w:line="308"/>
        <w:jc w:val="left"/>
      </w:pPr>
      <w:r>
        <w:rPr>
          <w:rFonts w:ascii="Georgia" w:cs="Georgia" w:eastAsia="Georgia" w:hAnsi="Georgia"/>
          <w:b w:val="false"/>
          <w:bCs w:val="false"/>
          <w:i w:val="false"/>
          <w:iCs w:val="false"/>
          <w:color w:val="2D2D2D"/>
          <w:sz w:val="22"/>
          <w:szCs w:val="22"/>
        </w:rPr>
        <w:t xml:space="preserve">Every one of these failures followed the same pattern: a model that performed well on aggregate metrics, validated on a dataset that did not adequately represent the diversity of the patient population it would actually serve. The aggregate accuracy looked fine. The subgroup performance revealed the problem. Pre-deployment bias evaluation across demographic subgroups is not optional governance box-ticking. It is patient safety practice. Health systems that deploy clinical AI without it are not just taking an ethical risk. They are taking a clinical one.</w:t>
      </w:r>
    </w:p>
    <w:p>
      <w:pPr>
        <w:spacing w:before="320" w:after="100"/>
      </w:pPr>
      <w:r>
        <w:rPr>
          <w:rFonts w:ascii="Arial" w:cs="Arial" w:eastAsia="Arial" w:hAnsi="Arial"/>
          <w:b/>
          <w:bCs/>
          <w:color w:val="7C3AB5"/>
          <w:sz w:val="25"/>
          <w:szCs w:val="25"/>
        </w:rPr>
        <w:t xml:space="preserve">What Does Responsible Clinical AI Deployment Actually Require?</w:t>
      </w:r>
    </w:p>
    <w:p>
      <w:pPr>
        <w:spacing w:before="0" w:after="180" w:line="308"/>
        <w:jc w:val="left"/>
      </w:pPr>
      <w:r>
        <w:rPr>
          <w:rFonts w:ascii="Georgia" w:cs="Georgia" w:eastAsia="Georgia" w:hAnsi="Georgia"/>
          <w:b w:val="false"/>
          <w:bCs w:val="false"/>
          <w:i w:val="false"/>
          <w:iCs w:val="false"/>
          <w:color w:val="2D2D2D"/>
          <w:sz w:val="22"/>
          <w:szCs w:val="22"/>
        </w:rPr>
        <w:t xml:space="preserve">It requires treating the implementation as seriously as the model. Engaging clinical informaticists and frontline clinicians in system design, not just evaluation. Establishing clear human override protocols — the radiologist who disagrees with the AI flag should find that disagreement easy, blameless, and captured as a feedback signal. Running prospective outcome monitoring after deployment, not just pre-deployment validation. And building the organizational culture that treats AI as a very capable tool in the hands of skilled clinicians — not a substitute for clinical judgment, and not a liability to be minimized.</w:t>
      </w:r>
    </w:p>
    <w:p>
      <w:pPr>
        <w:spacing w:before="0" w:after="180" w:line="308"/>
        <w:jc w:val="left"/>
      </w:pPr>
      <w:r>
        <w:rPr>
          <w:rFonts w:ascii="Georgia" w:cs="Georgia" w:eastAsia="Georgia" w:hAnsi="Georgia"/>
          <w:b w:val="false"/>
          <w:bCs w:val="false"/>
          <w:i w:val="false"/>
          <w:iCs w:val="false"/>
          <w:color w:val="2D2D2D"/>
          <w:sz w:val="22"/>
          <w:szCs w:val="22"/>
        </w:rPr>
        <w:t xml:space="preserve">The doctor still makes the call. That is not a limitation of the technology. It is the design specification. Healthcare AI that understands its role — augmenting clinical capability, reducing cognitive load, catching what human attention misses at 11pm in a 200-scan queue — is genuinely transformative. Healthcare AI that tries to be something else creates exactly the kind of risk that a heavily regulated, outcomes-accountable industry cannot afford.</w:t>
      </w: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4A1570" w:val="clear"/>
            <w:tcMar>
              <w:top w:type="dxa" w:w="100"/>
              <w:left w:type="dxa" w:w="160"/>
              <w:bottom w:type="dxa" w:w="100"/>
              <w:right w:type="dxa" w:w="120"/>
            </w:tcMar>
          </w:tcPr>
          <w:p>
            <w:pPr>
              <w:spacing w:before="0" w:after="180" w:line="308"/>
              <w:jc w:val="left"/>
            </w:pPr>
            <w:r>
              <w:rPr>
                <w:rFonts w:ascii="Arial" w:cs="Arial" w:eastAsia="Arial" w:hAnsi="Arial"/>
                <w:b/>
                <w:bCs/>
                <w:i w:val="false"/>
                <w:iCs w:val="false"/>
                <w:color w:val="FFFFFF"/>
                <w:sz w:val="22"/>
                <w:szCs w:val="22"/>
              </w:rPr>
              <w:t xml:space="preserve">Frequently Asked Questions</w:t>
            </w:r>
          </w:p>
        </w:tc>
      </w:tr>
      <w:tr>
        <w:tc>
          <w:tcPr>
            <w:tcW w:type="dxa" w:w="9360"/>
            <w:gridSpan w:val="2"/>
            <w:tcBorders>
              <w:top w:val="none" w:color="FFFFFF" w:sz="0"/>
              <w:left w:val="none" w:color="FFFFFF" w:sz="0"/>
              <w:bottom w:val="none" w:color="FFFFFF" w:sz="0"/>
              <w:right w:val="none" w:color="FFFFFF" w:sz="0"/>
            </w:tcBorders>
            <w:shd w:fill="EEF5FF" w:val="clear"/>
            <w:tcMar>
              <w:top w:type="dxa" w:w="80"/>
              <w:left w:type="dxa" w:w="160"/>
              <w:bottom w:type="dxa" w:w="20"/>
              <w:right w:type="dxa" w:w="120"/>
            </w:tcMar>
          </w:tcPr>
          <w:p>
            <w:pPr>
              <w:spacing w:before="0" w:after="180" w:line="308"/>
              <w:jc w:val="left"/>
            </w:pPr>
            <w:r>
              <w:rPr>
                <w:rFonts w:ascii="Georgia" w:cs="Georgia" w:eastAsia="Georgia" w:hAnsi="Georgia"/>
                <w:b/>
                <w:bCs/>
                <w:i w:val="false"/>
                <w:iCs w:val="false"/>
                <w:color w:val="7C3AB5"/>
                <w:sz w:val="20"/>
                <w:szCs w:val="20"/>
              </w:rPr>
              <w:t xml:space="preserve">Q: </w:t>
            </w:r>
            <w:r>
              <w:rPr>
                <w:rFonts w:ascii="Georgia" w:cs="Georgia" w:eastAsia="Georgia" w:hAnsi="Georgia"/>
                <w:b/>
                <w:bCs/>
                <w:i w:val="false"/>
                <w:iCs w:val="false"/>
                <w:color w:val="1F1F1F"/>
                <w:sz w:val="20"/>
                <w:szCs w:val="20"/>
              </w:rPr>
              <w:t xml:space="preserve">What is AIOps and how does it differ from traditional monitoring?</w:t>
            </w:r>
          </w:p>
        </w:tc>
      </w:tr>
      <w:tr>
        <w:tc>
          <w:tcPr>
            <w:tcW w:type="dxa" w:w="9360"/>
            <w:gridSpan w:val="2"/>
            <w:tcBorders>
              <w:top w:val="none" w:color="FFFFFF" w:sz="0"/>
              <w:left w:val="none" w:color="FFFFFF" w:sz="0"/>
              <w:bottom w:val="none" w:color="FFFFFF" w:sz="0"/>
              <w:right w:val="none" w:color="FFFFFF" w:sz="0"/>
            </w:tcBorders>
            <w:shd w:fill="EEF5FF" w:val="clear"/>
            <w:tcMar>
              <w:top w:type="dxa" w:w="0"/>
              <w:left w:type="dxa" w:w="160"/>
              <w:bottom w:type="dxa" w:w="100"/>
              <w:right w:type="dxa" w:w="120"/>
            </w:tcMar>
          </w:tcPr>
          <w:p>
            <w:pPr>
              <w:spacing w:before="0" w:after="180" w:line="284"/>
              <w:jc w:val="left"/>
            </w:pPr>
            <w:r>
              <w:rPr>
                <w:rFonts w:ascii="Georgia" w:cs="Georgia" w:eastAsia="Georgia" w:hAnsi="Georgia"/>
                <w:b/>
                <w:bCs/>
                <w:i w:val="false"/>
                <w:iCs w:val="false"/>
                <w:color w:val="555555"/>
                <w:sz w:val="20"/>
                <w:szCs w:val="20"/>
              </w:rPr>
              <w:t xml:space="preserve">A: </w:t>
            </w:r>
            <w:r>
              <w:rPr>
                <w:rFonts w:ascii="Georgia" w:cs="Georgia" w:eastAsia="Georgia" w:hAnsi="Georgia"/>
                <w:b w:val="false"/>
                <w:bCs w:val="false"/>
                <w:i w:val="false"/>
                <w:iCs w:val="false"/>
                <w:color w:val="444444"/>
                <w:sz w:val="20"/>
                <w:szCs w:val="20"/>
              </w:rPr>
              <w:t xml:space="preserve">Traditional monitoring sets thresholds — alert when CPU exceeds 90%, disk fills above 85%. It waits for the swimmer to go under before firing the alarm. AIOps applies machine learning to behavioral telemetry to detect anomalies, correlate related alerts into meaningful incidents, and surface the stroke change before the emergency. The difference is not speed. It is timing — catching the drift twelve hours before the threshold breaks.</w:t>
            </w:r>
          </w:p>
        </w:tc>
      </w:tr>
      <w:tr>
        <w:tc>
          <w:tcPr>
            <w:tcW w:type="dxa" w:w="9360"/>
            <w:gridSpan w:val="2"/>
            <w:tcBorders>
              <w:top w:val="none" w:color="FFFFFF" w:sz="0"/>
              <w:left w:val="none" w:color="FFFFFF" w:sz="0"/>
              <w:bottom w:val="none" w:color="FFFFFF" w:sz="0"/>
              <w:right w:val="none" w:color="FFFFFF" w:sz="0"/>
            </w:tcBorders>
            <w:shd w:fill="F9F9F9" w:val="clear"/>
            <w:tcMar>
              <w:top w:type="dxa" w:w="80"/>
              <w:left w:type="dxa" w:w="160"/>
              <w:bottom w:type="dxa" w:w="20"/>
              <w:right w:type="dxa" w:w="120"/>
            </w:tcMar>
          </w:tcPr>
          <w:p>
            <w:pPr>
              <w:spacing w:before="0" w:after="180" w:line="308"/>
              <w:jc w:val="left"/>
            </w:pPr>
            <w:r>
              <w:rPr>
                <w:rFonts w:ascii="Georgia" w:cs="Georgia" w:eastAsia="Georgia" w:hAnsi="Georgia"/>
                <w:b/>
                <w:bCs/>
                <w:i w:val="false"/>
                <w:iCs w:val="false"/>
                <w:color w:val="7C3AB5"/>
                <w:sz w:val="20"/>
                <w:szCs w:val="20"/>
              </w:rPr>
              <w:t xml:space="preserve">Q: </w:t>
            </w:r>
            <w:r>
              <w:rPr>
                <w:rFonts w:ascii="Georgia" w:cs="Georgia" w:eastAsia="Georgia" w:hAnsi="Georgia"/>
                <w:b/>
                <w:bCs/>
                <w:i w:val="false"/>
                <w:iCs w:val="false"/>
                <w:color w:val="1F1F1F"/>
                <w:sz w:val="20"/>
                <w:szCs w:val="20"/>
              </w:rPr>
              <w:t xml:space="preserve">What is MTTD and why does it matter for AIOps evaluation?</w:t>
            </w:r>
          </w:p>
        </w:tc>
      </w:tr>
      <w:tr>
        <w:tc>
          <w:tcPr>
            <w:tcW w:type="dxa" w:w="9360"/>
            <w:gridSpan w:val="2"/>
            <w:tcBorders>
              <w:top w:val="none" w:color="FFFFFF" w:sz="0"/>
              <w:left w:val="none" w:color="FFFFFF" w:sz="0"/>
              <w:bottom w:val="none" w:color="FFFFFF" w:sz="0"/>
              <w:right w:val="none" w:color="FFFFFF" w:sz="0"/>
            </w:tcBorders>
            <w:shd w:fill="F9F9F9" w:val="clear"/>
            <w:tcMar>
              <w:top w:type="dxa" w:w="0"/>
              <w:left w:type="dxa" w:w="160"/>
              <w:bottom w:type="dxa" w:w="100"/>
              <w:right w:type="dxa" w:w="120"/>
            </w:tcMar>
          </w:tcPr>
          <w:p>
            <w:pPr>
              <w:spacing w:before="0" w:after="180" w:line="284"/>
              <w:jc w:val="left"/>
            </w:pPr>
            <w:r>
              <w:rPr>
                <w:rFonts w:ascii="Georgia" w:cs="Georgia" w:eastAsia="Georgia" w:hAnsi="Georgia"/>
                <w:b/>
                <w:bCs/>
                <w:i w:val="false"/>
                <w:iCs w:val="false"/>
                <w:color w:val="555555"/>
                <w:sz w:val="20"/>
                <w:szCs w:val="20"/>
              </w:rPr>
              <w:t xml:space="preserve">A: </w:t>
            </w:r>
            <w:r>
              <w:rPr>
                <w:rFonts w:ascii="Georgia" w:cs="Georgia" w:eastAsia="Georgia" w:hAnsi="Georgia"/>
                <w:b w:val="false"/>
                <w:bCs w:val="false"/>
                <w:i w:val="false"/>
                <w:iCs w:val="false"/>
                <w:color w:val="444444"/>
                <w:sz w:val="20"/>
                <w:szCs w:val="20"/>
              </w:rPr>
              <w:t xml:space="preserve">MTTD is Mean Time to Detect — the average time between an incident beginning and the operations team identifying it. IBM's 2025 Cost of a Data Breach report found AI-augmented detection shortened detection windows by 100 days on average. In pool terms: the faster the lifeguard spots the struggling swimmer, the better the outcome. Every undetected hour is damage accumulating. MTTD reduction is the clearest financial measure of whether an AIOps investment is actually working.</w:t>
            </w:r>
          </w:p>
        </w:tc>
      </w:tr>
      <w:tr>
        <w:tc>
          <w:tcPr>
            <w:tcW w:type="dxa" w:w="9360"/>
            <w:gridSpan w:val="2"/>
            <w:tcBorders>
              <w:top w:val="none" w:color="FFFFFF" w:sz="0"/>
              <w:left w:val="none" w:color="FFFFFF" w:sz="0"/>
              <w:bottom w:val="none" w:color="FFFFFF" w:sz="0"/>
              <w:right w:val="none" w:color="FFFFFF" w:sz="0"/>
            </w:tcBorders>
            <w:shd w:fill="EEF5FF" w:val="clear"/>
            <w:tcMar>
              <w:top w:type="dxa" w:w="80"/>
              <w:left w:type="dxa" w:w="160"/>
              <w:bottom w:type="dxa" w:w="20"/>
              <w:right w:type="dxa" w:w="120"/>
            </w:tcMar>
          </w:tcPr>
          <w:p>
            <w:pPr>
              <w:spacing w:before="0" w:after="180" w:line="308"/>
              <w:jc w:val="left"/>
            </w:pPr>
            <w:r>
              <w:rPr>
                <w:rFonts w:ascii="Georgia" w:cs="Georgia" w:eastAsia="Georgia" w:hAnsi="Georgia"/>
                <w:b/>
                <w:bCs/>
                <w:i w:val="false"/>
                <w:iCs w:val="false"/>
                <w:color w:val="7C3AB5"/>
                <w:sz w:val="20"/>
                <w:szCs w:val="20"/>
              </w:rPr>
              <w:t xml:space="preserve">Q: </w:t>
            </w:r>
            <w:r>
              <w:rPr>
                <w:rFonts w:ascii="Georgia" w:cs="Georgia" w:eastAsia="Georgia" w:hAnsi="Georgia"/>
                <w:b/>
                <w:bCs/>
                <w:i w:val="false"/>
                <w:iCs w:val="false"/>
                <w:color w:val="1F1F1F"/>
                <w:sz w:val="20"/>
                <w:szCs w:val="20"/>
              </w:rPr>
              <w:t xml:space="preserve">Should organizations deploy AIOps before improving their telemetry?</w:t>
            </w:r>
          </w:p>
        </w:tc>
      </w:tr>
      <w:tr>
        <w:tc>
          <w:tcPr>
            <w:tcW w:type="dxa" w:w="9360"/>
            <w:gridSpan w:val="2"/>
            <w:tcBorders>
              <w:top w:val="none" w:color="FFFFFF" w:sz="0"/>
              <w:left w:val="none" w:color="FFFFFF" w:sz="0"/>
              <w:bottom w:val="none" w:color="FFFFFF" w:sz="0"/>
              <w:right w:val="none" w:color="FFFFFF" w:sz="0"/>
            </w:tcBorders>
            <w:shd w:fill="EEF5FF" w:val="clear"/>
            <w:tcMar>
              <w:top w:type="dxa" w:w="0"/>
              <w:left w:type="dxa" w:w="160"/>
              <w:bottom w:type="dxa" w:w="100"/>
              <w:right w:type="dxa" w:w="120"/>
            </w:tcMar>
          </w:tcPr>
          <w:p>
            <w:pPr>
              <w:spacing w:before="0" w:after="180" w:line="284"/>
              <w:jc w:val="left"/>
            </w:pPr>
            <w:r>
              <w:rPr>
                <w:rFonts w:ascii="Georgia" w:cs="Georgia" w:eastAsia="Georgia" w:hAnsi="Georgia"/>
                <w:b/>
                <w:bCs/>
                <w:i w:val="false"/>
                <w:iCs w:val="false"/>
                <w:color w:val="555555"/>
                <w:sz w:val="20"/>
                <w:szCs w:val="20"/>
              </w:rPr>
              <w:t xml:space="preserve">A: </w:t>
            </w:r>
            <w:r>
              <w:rPr>
                <w:rFonts w:ascii="Georgia" w:cs="Georgia" w:eastAsia="Georgia" w:hAnsi="Georgia"/>
                <w:b w:val="false"/>
                <w:bCs w:val="false"/>
                <w:i w:val="false"/>
                <w:iCs w:val="false"/>
                <w:color w:val="444444"/>
                <w:sz w:val="20"/>
                <w:szCs w:val="20"/>
              </w:rPr>
              <w:t xml:space="preserve">No. Murky water first, then the lifeguard. AIOps amplifies whatever data quality it receives — excellent telemetry produces excellent output, poor telemetry produces poor output with more confidence. The correct sequence: instrument comprehensively, standardize schemas, normalize alert taxonomy, establish behavioral baselines, then deploy AIOps on top of that foundation. Organizations that invert this sequence consistently discover the lesson the hard way.</w:t>
            </w:r>
          </w:p>
        </w:tc>
      </w:tr>
      <w:tr>
        <w:tc>
          <w:tcPr>
            <w:tcW w:type="dxa" w:w="9360"/>
            <w:gridSpan w:val="2"/>
            <w:tcBorders>
              <w:top w:val="none" w:color="FFFFFF" w:sz="0"/>
              <w:left w:val="none" w:color="FFFFFF" w:sz="0"/>
              <w:bottom w:val="none" w:color="FFFFFF" w:sz="0"/>
              <w:right w:val="none" w:color="FFFFFF" w:sz="0"/>
            </w:tcBorders>
            <w:shd w:fill="F9F9F9" w:val="clear"/>
            <w:tcMar>
              <w:top w:type="dxa" w:w="80"/>
              <w:left w:type="dxa" w:w="160"/>
              <w:bottom w:type="dxa" w:w="20"/>
              <w:right w:type="dxa" w:w="120"/>
            </w:tcMar>
          </w:tcPr>
          <w:p>
            <w:pPr>
              <w:spacing w:before="0" w:after="180" w:line="308"/>
              <w:jc w:val="left"/>
            </w:pPr>
            <w:r>
              <w:rPr>
                <w:rFonts w:ascii="Georgia" w:cs="Georgia" w:eastAsia="Georgia" w:hAnsi="Georgia"/>
                <w:b/>
                <w:bCs/>
                <w:i w:val="false"/>
                <w:iCs w:val="false"/>
                <w:color w:val="7C3AB5"/>
                <w:sz w:val="20"/>
                <w:szCs w:val="20"/>
              </w:rPr>
              <w:t xml:space="preserve">Q: </w:t>
            </w:r>
            <w:r>
              <w:rPr>
                <w:rFonts w:ascii="Georgia" w:cs="Georgia" w:eastAsia="Georgia" w:hAnsi="Georgia"/>
                <w:b/>
                <w:bCs/>
                <w:i w:val="false"/>
                <w:iCs w:val="false"/>
                <w:color w:val="1F1F1F"/>
                <w:sz w:val="20"/>
                <w:szCs w:val="20"/>
              </w:rPr>
              <w:t xml:space="preserve">What is the difference between AIOps and observability?</w:t>
            </w:r>
          </w:p>
        </w:tc>
      </w:tr>
      <w:tr>
        <w:tc>
          <w:tcPr>
            <w:tcW w:type="dxa" w:w="9360"/>
            <w:gridSpan w:val="2"/>
            <w:tcBorders>
              <w:top w:val="none" w:color="FFFFFF" w:sz="0"/>
              <w:left w:val="none" w:color="FFFFFF" w:sz="0"/>
              <w:bottom w:val="none" w:color="FFFFFF" w:sz="0"/>
              <w:right w:val="none" w:color="FFFFFF" w:sz="0"/>
            </w:tcBorders>
            <w:shd w:fill="F9F9F9" w:val="clear"/>
            <w:tcMar>
              <w:top w:type="dxa" w:w="0"/>
              <w:left w:type="dxa" w:w="160"/>
              <w:bottom w:type="dxa" w:w="100"/>
              <w:right w:type="dxa" w:w="120"/>
            </w:tcMar>
          </w:tcPr>
          <w:p>
            <w:pPr>
              <w:spacing w:before="0" w:after="180" w:line="284"/>
              <w:jc w:val="left"/>
            </w:pPr>
            <w:r>
              <w:rPr>
                <w:rFonts w:ascii="Georgia" w:cs="Georgia" w:eastAsia="Georgia" w:hAnsi="Georgia"/>
                <w:b/>
                <w:bCs/>
                <w:i w:val="false"/>
                <w:iCs w:val="false"/>
                <w:color w:val="555555"/>
                <w:sz w:val="20"/>
                <w:szCs w:val="20"/>
              </w:rPr>
              <w:t xml:space="preserve">A: </w:t>
            </w:r>
            <w:r>
              <w:rPr>
                <w:rFonts w:ascii="Georgia" w:cs="Georgia" w:eastAsia="Georgia" w:hAnsi="Georgia"/>
                <w:b w:val="false"/>
                <w:bCs w:val="false"/>
                <w:i w:val="false"/>
                <w:iCs w:val="false"/>
                <w:color w:val="444444"/>
                <w:sz w:val="20"/>
                <w:szCs w:val="20"/>
              </w:rPr>
              <w:t xml:space="preserve">Observability is water clarity — the property of a system that determines how well you can see what is happening inside it, through logs, metrics, and traces. AIOps is the lifeguard — the capability applied to that visibility to detect, correlate, and act. You need both. Perfect observability with no AIOps is a crystal-clear pool with nobody watching. AIOps without observability is a lifeguard staring at fog. The combination is what actually keeps swimmers safe.</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2026-03-18T13:03:42.184Z</dcterms:created>
  <dcterms:modified xsi:type="dcterms:W3CDTF">2026-03-18T13:03:42.186Z</dcterms:modified>
</cp:coreProperties>
</file>

<file path=docProps/custom.xml><?xml version="1.0" encoding="utf-8"?>
<Properties xmlns="http://schemas.openxmlformats.org/officeDocument/2006/custom-properties" xmlns:vt="http://schemas.openxmlformats.org/officeDocument/2006/docPropsVTypes"/>
</file>