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24C0" w14:textId="0210FC8B" w:rsidR="00F01622" w:rsidRPr="00893692" w:rsidRDefault="00F01622" w:rsidP="00F01622">
      <w:pPr>
        <w:pStyle w:val="Heading2"/>
        <w:rPr>
          <w:i w:val="0"/>
          <w:iCs w:val="0"/>
        </w:rPr>
      </w:pPr>
    </w:p>
    <w:p w14:paraId="7A8ED3DA" w14:textId="2A5579D9" w:rsidR="00AE21ED" w:rsidRDefault="00893692" w:rsidP="00F01622">
      <w:pPr>
        <w:pStyle w:val="Default"/>
      </w:pPr>
      <w:r w:rsidRPr="00E22912">
        <w:rPr>
          <w:b/>
          <w:bCs/>
          <w:sz w:val="36"/>
          <w:szCs w:val="36"/>
        </w:rPr>
        <w:t>The Hidden Advantage: Why Smart Companies Are Choosing the Middle Path in Cloud Strategy</w:t>
      </w:r>
      <w:r>
        <w:br/>
      </w:r>
      <w:r>
        <w:br/>
      </w:r>
      <w:r w:rsidRPr="00E22912">
        <w:rPr>
          <w:b/>
          <w:bCs/>
        </w:rPr>
        <w:t>Summary</w:t>
      </w:r>
      <w:r w:rsidR="00E22912">
        <w:br/>
      </w:r>
      <w:r w:rsidR="00AE21ED">
        <w:t xml:space="preserve">Mid-market cloud providers provide predictable costs, compliance, and vendor flexibility that hyperscale solutions can't match. </w:t>
      </w:r>
    </w:p>
    <w:p w14:paraId="47529EA8" w14:textId="0F182B48" w:rsidR="00E22912" w:rsidRDefault="00AE21ED" w:rsidP="00F01622">
      <w:pPr>
        <w:pStyle w:val="Default"/>
      </w:pPr>
      <w:r w:rsidDel="00AE21ED">
        <w:t xml:space="preserve"> </w:t>
      </w:r>
      <w:r w:rsidR="00893692">
        <w:br/>
      </w:r>
      <w:r w:rsidR="00893692" w:rsidRPr="00E22912">
        <w:rPr>
          <w:b/>
          <w:bCs/>
        </w:rPr>
        <w:t xml:space="preserve">Quick </w:t>
      </w:r>
      <w:r w:rsidR="00E22912">
        <w:rPr>
          <w:b/>
          <w:bCs/>
        </w:rPr>
        <w:t>Insight</w:t>
      </w:r>
      <w:r w:rsidR="00E22912" w:rsidRPr="00E22912">
        <w:rPr>
          <w:b/>
          <w:bCs/>
        </w:rPr>
        <w:br/>
      </w:r>
      <w:r w:rsidR="00C53EDD">
        <w:t>Cloud strategy in 2026 is about workload placement</w:t>
      </w:r>
      <w:r w:rsidR="00E22912">
        <w:t xml:space="preserve"> instead of</w:t>
      </w:r>
      <w:r w:rsidR="00C53EDD">
        <w:t xml:space="preserve"> wholesale migration. Organizations applying structured frameworks to decide where each workload belongs–hyperscale, mid-market, or on-premises–are achieving up to </w:t>
      </w:r>
      <w:hyperlink r:id="rId10" w:history="1">
        <w:r w:rsidR="00C53EDD" w:rsidRPr="007D3A53">
          <w:rPr>
            <w:rStyle w:val="Hyperlink"/>
            <w:highlight w:val="yellow"/>
          </w:rPr>
          <w:t>40% cost reduct</w:t>
        </w:r>
        <w:r w:rsidR="00C53EDD" w:rsidRPr="007D3A53">
          <w:rPr>
            <w:rStyle w:val="Hyperlink"/>
            <w:highlight w:val="yellow"/>
          </w:rPr>
          <w:t>i</w:t>
        </w:r>
        <w:r w:rsidR="00C53EDD" w:rsidRPr="007D3A53">
          <w:rPr>
            <w:rStyle w:val="Hyperlink"/>
            <w:highlight w:val="yellow"/>
          </w:rPr>
          <w:t>ons</w:t>
        </w:r>
      </w:hyperlink>
      <w:r w:rsidR="00C53EDD">
        <w:t xml:space="preserve"> while improving compliance. Mid-market providers offer modern infrastructure without hyperscale pricing volatility or lock-in.</w:t>
      </w:r>
      <w:r w:rsidR="00893692">
        <w:t xml:space="preserve"> </w:t>
      </w:r>
      <w:r w:rsidR="00893692">
        <w:br/>
      </w:r>
      <w:r w:rsidR="00893692">
        <w:br/>
      </w:r>
      <w:r w:rsidR="00893692" w:rsidRPr="00E22912">
        <w:rPr>
          <w:b/>
          <w:bCs/>
        </w:rPr>
        <w:t>Fast Facts</w:t>
      </w:r>
      <w:r w:rsidR="00893692">
        <w:br/>
      </w:r>
      <w:r w:rsidR="00893692">
        <w:br/>
      </w:r>
    </w:p>
    <w:p w14:paraId="7FEA5BB6" w14:textId="382A8B0C" w:rsidR="00E22912" w:rsidRPr="000961DE" w:rsidRDefault="0064492D" w:rsidP="00E22912">
      <w:pPr>
        <w:pStyle w:val="Default"/>
        <w:numPr>
          <w:ilvl w:val="0"/>
          <w:numId w:val="7"/>
        </w:numPr>
      </w:pPr>
      <w:hyperlink r:id="rId11" w:history="1">
        <w:r w:rsidRPr="000961DE">
          <w:rPr>
            <w:rStyle w:val="Hyperlink"/>
          </w:rPr>
          <w:t>70</w:t>
        </w:r>
        <w:r w:rsidR="00893692" w:rsidRPr="000961DE">
          <w:rPr>
            <w:rStyle w:val="Hyperlink"/>
          </w:rPr>
          <w:t xml:space="preserve">% of </w:t>
        </w:r>
        <w:r w:rsidRPr="000961DE">
          <w:rPr>
            <w:rStyle w:val="Hyperlink"/>
          </w:rPr>
          <w:t>nations worldwide</w:t>
        </w:r>
      </w:hyperlink>
      <w:r w:rsidR="007D3A53">
        <w:t xml:space="preserve"> </w:t>
      </w:r>
      <w:r w:rsidR="00893692" w:rsidRPr="000961DE">
        <w:t xml:space="preserve">now have data privacy </w:t>
      </w:r>
      <w:proofErr w:type="gramStart"/>
      <w:r w:rsidR="00893692" w:rsidRPr="000961DE">
        <w:t>regulations</w:t>
      </w:r>
      <w:proofErr w:type="gramEnd"/>
      <w:r w:rsidR="00893692" w:rsidRPr="000961DE">
        <w:t xml:space="preserve"> driving demand for </w:t>
      </w:r>
      <w:r w:rsidR="00C53EDD" w:rsidRPr="000961DE">
        <w:t>data residency requir</w:t>
      </w:r>
      <w:r w:rsidR="00AE21ED" w:rsidRPr="000961DE">
        <w:t>e</w:t>
      </w:r>
      <w:r w:rsidR="00C53EDD" w:rsidRPr="000961DE">
        <w:t>ments in key markets</w:t>
      </w:r>
      <w:r w:rsidR="00A0367A" w:rsidRPr="000961DE">
        <w:t>.</w:t>
      </w:r>
    </w:p>
    <w:p w14:paraId="738F7BD1" w14:textId="77777777" w:rsidR="00A0367A" w:rsidRPr="000961DE" w:rsidRDefault="00A0367A" w:rsidP="00A0367A">
      <w:pPr>
        <w:pStyle w:val="Default"/>
        <w:ind w:left="720"/>
      </w:pPr>
    </w:p>
    <w:p w14:paraId="4BE1C173" w14:textId="40502161" w:rsidR="00E22912" w:rsidRPr="000961DE" w:rsidRDefault="00893692" w:rsidP="00E22912">
      <w:pPr>
        <w:pStyle w:val="Default"/>
        <w:numPr>
          <w:ilvl w:val="0"/>
          <w:numId w:val="7"/>
        </w:numPr>
      </w:pPr>
      <w:r w:rsidRPr="000961DE">
        <w:t>VMware customers report</w:t>
      </w:r>
      <w:r w:rsidR="00A0367A" w:rsidRPr="000961DE">
        <w:t xml:space="preserve"> an</w:t>
      </w:r>
      <w:r w:rsidRPr="000961DE">
        <w:t xml:space="preserve"> </w:t>
      </w:r>
      <w:hyperlink r:id="rId12" w:history="1">
        <w:r w:rsidRPr="000961DE">
          <w:rPr>
            <w:rStyle w:val="Hyperlink"/>
          </w:rPr>
          <w:t>8-1</w:t>
        </w:r>
        <w:r w:rsidRPr="000961DE">
          <w:rPr>
            <w:rStyle w:val="Hyperlink"/>
          </w:rPr>
          <w:t>5</w:t>
        </w:r>
        <w:r w:rsidRPr="000961DE">
          <w:rPr>
            <w:rStyle w:val="Hyperlink"/>
          </w:rPr>
          <w:t>x cost increase</w:t>
        </w:r>
      </w:hyperlink>
      <w:r w:rsidRPr="000961DE">
        <w:t xml:space="preserve"> following the Broadcom acquisition</w:t>
      </w:r>
      <w:r w:rsidR="00A0367A" w:rsidRPr="000961DE">
        <w:rPr>
          <w:rStyle w:val="s1"/>
          <w:rFonts w:cs="Arial"/>
        </w:rPr>
        <w:t>.</w:t>
      </w:r>
      <w:r w:rsidR="00A0367A" w:rsidRPr="000961DE">
        <w:t xml:space="preserve"> </w:t>
      </w:r>
      <w:r w:rsidRPr="000961DE">
        <w:br/>
      </w:r>
    </w:p>
    <w:p w14:paraId="2C607864" w14:textId="33F0C756" w:rsidR="00E22912" w:rsidRPr="000961DE" w:rsidRDefault="00893692" w:rsidP="00E22912">
      <w:pPr>
        <w:pStyle w:val="Default"/>
        <w:numPr>
          <w:ilvl w:val="0"/>
          <w:numId w:val="7"/>
        </w:numPr>
      </w:pPr>
      <w:r w:rsidRPr="000961DE">
        <w:t xml:space="preserve">Organizations implementing proper FinOps practices achieve up to </w:t>
      </w:r>
      <w:hyperlink r:id="rId13" w:history="1">
        <w:r w:rsidRPr="000961DE">
          <w:rPr>
            <w:rStyle w:val="Hyperlink"/>
          </w:rPr>
          <w:t>40</w:t>
        </w:r>
        <w:r w:rsidRPr="000961DE">
          <w:rPr>
            <w:rStyle w:val="Hyperlink"/>
          </w:rPr>
          <w:t>%</w:t>
        </w:r>
        <w:r w:rsidRPr="000961DE">
          <w:rPr>
            <w:rStyle w:val="Hyperlink"/>
          </w:rPr>
          <w:t xml:space="preserve"> cloud cost savings</w:t>
        </w:r>
      </w:hyperlink>
      <w:r w:rsidR="000961DE" w:rsidRPr="000961DE">
        <w:t>.</w:t>
      </w:r>
      <w:r w:rsidRPr="000961DE">
        <w:br/>
      </w:r>
    </w:p>
    <w:p w14:paraId="5A78FA82" w14:textId="7F2A5F15" w:rsidR="00E22912" w:rsidRPr="000961DE" w:rsidRDefault="00C53EDD" w:rsidP="00E22912">
      <w:pPr>
        <w:pStyle w:val="Default"/>
        <w:numPr>
          <w:ilvl w:val="0"/>
          <w:numId w:val="7"/>
        </w:numPr>
        <w:rPr>
          <w:rStyle w:val="s1"/>
          <w:color w:val="808080"/>
        </w:rPr>
      </w:pPr>
      <w:r w:rsidRPr="000961DE">
        <w:t>Global data center power demand is forecast to grow</w:t>
      </w:r>
      <w:r w:rsidR="00893692" w:rsidRPr="000961DE">
        <w:t xml:space="preserve"> </w:t>
      </w:r>
      <w:hyperlink r:id="rId14" w:history="1">
        <w:r w:rsidR="00893692" w:rsidRPr="000961DE">
          <w:rPr>
            <w:rStyle w:val="Hyperlink"/>
          </w:rPr>
          <w:t>50%</w:t>
        </w:r>
        <w:r w:rsidR="00893692" w:rsidRPr="000961DE">
          <w:rPr>
            <w:rStyle w:val="Hyperlink"/>
          </w:rPr>
          <w:t xml:space="preserve"> </w:t>
        </w:r>
        <w:r w:rsidR="00893692" w:rsidRPr="000961DE">
          <w:rPr>
            <w:rStyle w:val="Hyperlink"/>
          </w:rPr>
          <w:t xml:space="preserve">by 2027, </w:t>
        </w:r>
        <w:r w:rsidRPr="000961DE">
          <w:rPr>
            <w:rStyle w:val="Hyperlink"/>
          </w:rPr>
          <w:t xml:space="preserve">with </w:t>
        </w:r>
        <w:r w:rsidRPr="000961DE">
          <w:rPr>
            <w:rStyle w:val="Hyperlink"/>
          </w:rPr>
          <w:t>A</w:t>
        </w:r>
        <w:r w:rsidRPr="000961DE">
          <w:rPr>
            <w:rStyle w:val="Hyperlink"/>
          </w:rPr>
          <w:t xml:space="preserve">I's share </w:t>
        </w:r>
        <w:r w:rsidR="007D3A53">
          <w:rPr>
            <w:rStyle w:val="Hyperlink"/>
          </w:rPr>
          <w:t xml:space="preserve">nearly </w:t>
        </w:r>
        <w:r w:rsidRPr="000961DE">
          <w:rPr>
            <w:rStyle w:val="Hyperlink"/>
          </w:rPr>
          <w:t>doubling</w:t>
        </w:r>
      </w:hyperlink>
      <w:r w:rsidR="000961DE" w:rsidRPr="000961DE">
        <w:t>.</w:t>
      </w:r>
      <w:r w:rsidR="00AE21ED" w:rsidRPr="000961DE">
        <w:rPr>
          <w:rStyle w:val="s1"/>
          <w:rFonts w:cs="Arial"/>
        </w:rPr>
        <w:t xml:space="preserve"> </w:t>
      </w:r>
    </w:p>
    <w:p w14:paraId="0749FE66" w14:textId="77777777" w:rsidR="000961DE" w:rsidRDefault="000961DE" w:rsidP="000961DE">
      <w:pPr>
        <w:pStyle w:val="Default"/>
        <w:ind w:left="720"/>
      </w:pPr>
    </w:p>
    <w:p w14:paraId="524F1E74" w14:textId="77777777" w:rsidR="000961DE" w:rsidRDefault="00893692" w:rsidP="00E22912">
      <w:pPr>
        <w:pStyle w:val="Default"/>
      </w:pPr>
      <w:r>
        <w:t>The major cloud migration wave is over. Most organizations now run hybrid environments across multiple providers. What started as rapid expansion has shifted into careful optimization. CFOs and CIOs are asking harder questions about cloud spending, and the answers are driving a fundamental rethink of cloud strategy.</w:t>
      </w:r>
      <w:r>
        <w:br/>
      </w:r>
      <w:r>
        <w:br/>
        <w:t xml:space="preserve">Here's what changed: The hyperscale promise of unlimited scalability conflicts with real-world cost pressures, compliance requirements, and performance needs. The VMware licensing crisis forced thousands of organizations to reconsider their entire </w:t>
      </w:r>
      <w:r w:rsidR="0069157B">
        <w:t>approach</w:t>
      </w:r>
      <w:r>
        <w:t xml:space="preserve"> </w:t>
      </w:r>
      <w:r w:rsidR="0069157B">
        <w:t>to infrastructure</w:t>
      </w:r>
      <w:r>
        <w:t xml:space="preserve">. </w:t>
      </w:r>
    </w:p>
    <w:p w14:paraId="069CE737" w14:textId="2C30418A" w:rsidR="0069157B" w:rsidRDefault="00893692" w:rsidP="00E22912">
      <w:pPr>
        <w:pStyle w:val="Default"/>
      </w:pPr>
      <w:r>
        <w:br/>
        <w:t>The opportunity is building vendor-neutral, business-driven architectures that prioritize outcomes over brand loyalty.</w:t>
      </w:r>
      <w:r>
        <w:br/>
      </w:r>
      <w:r>
        <w:br/>
      </w:r>
      <w:r w:rsidR="00C95219" w:rsidRPr="00E22912">
        <w:rPr>
          <w:b/>
          <w:bCs/>
        </w:rPr>
        <w:t>What's driving enterprises to rethink cloud strategy in 2026?</w:t>
      </w:r>
      <w:r w:rsidRPr="00E22912">
        <w:rPr>
          <w:b/>
          <w:bCs/>
        </w:rPr>
        <w:br/>
      </w:r>
      <w:r>
        <w:lastRenderedPageBreak/>
        <w:br/>
        <w:t>Three forces are reshaping cloud decision-making</w:t>
      </w:r>
      <w:r w:rsidR="0069157B">
        <w:t>:</w:t>
      </w:r>
    </w:p>
    <w:p w14:paraId="3C74AE06" w14:textId="20B5459F" w:rsidR="0069157B" w:rsidRDefault="00893692" w:rsidP="00F01622">
      <w:pPr>
        <w:pStyle w:val="Default"/>
      </w:pPr>
      <w:r>
        <w:t xml:space="preserve"> </w:t>
      </w:r>
    </w:p>
    <w:p w14:paraId="2FD54EA4" w14:textId="77777777" w:rsidR="0069157B" w:rsidRDefault="00893692" w:rsidP="0069157B">
      <w:pPr>
        <w:pStyle w:val="Default"/>
        <w:numPr>
          <w:ilvl w:val="0"/>
          <w:numId w:val="6"/>
        </w:numPr>
      </w:pPr>
      <w:r>
        <w:t xml:space="preserve">The VMware/Broadcom acquisition disrupted the enterprise virtualization market with dramatic price increases and licensing changes. </w:t>
      </w:r>
    </w:p>
    <w:p w14:paraId="5FAD4AC8" w14:textId="77777777" w:rsidR="0069157B" w:rsidRDefault="00893692" w:rsidP="0069157B">
      <w:pPr>
        <w:pStyle w:val="Default"/>
        <w:numPr>
          <w:ilvl w:val="0"/>
          <w:numId w:val="6"/>
        </w:numPr>
      </w:pPr>
      <w:r>
        <w:t xml:space="preserve">Hyperscale providers are shifting focus and resources toward AI infrastructure, pushing traditional workloads into higher-cost tiers while reducing customer bargaining power. </w:t>
      </w:r>
    </w:p>
    <w:p w14:paraId="593CB5CA" w14:textId="4129123B" w:rsidR="0069157B" w:rsidRDefault="00893692">
      <w:pPr>
        <w:pStyle w:val="Default"/>
        <w:numPr>
          <w:ilvl w:val="0"/>
          <w:numId w:val="6"/>
        </w:numPr>
      </w:pPr>
      <w:r>
        <w:t>Regulatory requirements for data sovereignty continue expanding globally, making proximity and compliance critical factors in workload placement.</w:t>
      </w:r>
      <w:r>
        <w:br/>
      </w:r>
    </w:p>
    <w:p w14:paraId="6BE7B4F6" w14:textId="46E3F3F5" w:rsidR="00E22912" w:rsidRDefault="00893692" w:rsidP="0069157B">
      <w:pPr>
        <w:pStyle w:val="Default"/>
      </w:pPr>
      <w:r>
        <w:t xml:space="preserve">Organizations that react to these changes with intentional strategy rather than panic migration are discovering significant competitive </w:t>
      </w:r>
      <w:r w:rsidR="0069157B">
        <w:t xml:space="preserve">opportunities and </w:t>
      </w:r>
      <w:r>
        <w:t>advantages. The key is moving from "cloud-first" thinking to "cloud-smart" decision-making.</w:t>
      </w:r>
      <w:r>
        <w:br/>
      </w:r>
      <w:r>
        <w:br/>
      </w:r>
      <w:r w:rsidR="00C95219">
        <w:t>W</w:t>
      </w:r>
      <w:r w:rsidR="00C95219" w:rsidRPr="00E22912">
        <w:rPr>
          <w:b/>
          <w:bCs/>
        </w:rPr>
        <w:t>hy are mid-market cloud providers gaining ground on AWS and Azure?</w:t>
      </w:r>
      <w:r>
        <w:br/>
      </w:r>
      <w:r>
        <w:br/>
        <w:t xml:space="preserve">The hidden middle represents providers who combine modern infrastructure capabilities with predictable costs and regulatory alignment. These aren't necessarily small companies. They're organizations like </w:t>
      </w:r>
      <w:proofErr w:type="spellStart"/>
      <w:r>
        <w:t>OVHcloud</w:t>
      </w:r>
      <w:proofErr w:type="spellEnd"/>
      <w:r w:rsidR="00AE21ED">
        <w:t xml:space="preserve"> (a European cloud provider with data centers across 19 countries) and</w:t>
      </w:r>
      <w:r>
        <w:t xml:space="preserve"> </w:t>
      </w:r>
      <w:r w:rsidR="00C53EDD">
        <w:t>Expedient</w:t>
      </w:r>
      <w:r w:rsidR="00AE21ED">
        <w:t xml:space="preserve"> (a full-stack cloud computing and data center infrastructure-as-a-service provider in the US)</w:t>
      </w:r>
      <w:r>
        <w:t>, a</w:t>
      </w:r>
      <w:r w:rsidR="00AE21ED">
        <w:t>s well as</w:t>
      </w:r>
      <w:r>
        <w:t xml:space="preserve"> regional providers who prioritize transparency and customer control over market dominance.</w:t>
      </w:r>
      <w:r>
        <w:br/>
      </w:r>
      <w:r>
        <w:br/>
        <w:t xml:space="preserve">Mid-market providers succeed by offering what hyperscale cannot: genuine cost predictability, local compliance expertise, and customer relationships that preserve negotiation leverage. When a regional provider's success depends on customer satisfaction rather than ecosystem lock-in, the incentives align </w:t>
      </w:r>
      <w:r w:rsidR="00DD069B">
        <w:t>to provide r</w:t>
      </w:r>
      <w:r>
        <w:t>eal pricing transparency</w:t>
      </w:r>
      <w:r w:rsidR="00DD069B">
        <w:t xml:space="preserve"> and m</w:t>
      </w:r>
      <w:r>
        <w:t>easurable cost control.</w:t>
      </w:r>
      <w:r>
        <w:br/>
      </w:r>
      <w:r>
        <w:br/>
      </w:r>
      <w:r w:rsidR="00C95219" w:rsidRPr="00E22912">
        <w:rPr>
          <w:b/>
          <w:bCs/>
        </w:rPr>
        <w:t>How do you decide which workloads belong in which cloud?</w:t>
      </w:r>
      <w:r>
        <w:br/>
      </w:r>
      <w:r>
        <w:br/>
        <w:t>Successful cloud transformation requires a systematic approach to workload placement decisions. The 4A framework provides structure:</w:t>
      </w:r>
      <w:r>
        <w:br/>
      </w:r>
    </w:p>
    <w:p w14:paraId="44709AB7" w14:textId="3DFDA65C" w:rsidR="00E22912" w:rsidRDefault="00893692" w:rsidP="00E22912">
      <w:pPr>
        <w:pStyle w:val="Default"/>
        <w:numPr>
          <w:ilvl w:val="0"/>
          <w:numId w:val="8"/>
        </w:numPr>
      </w:pPr>
      <w:r w:rsidRPr="00E22912">
        <w:rPr>
          <w:b/>
          <w:bCs/>
        </w:rPr>
        <w:t>Assess.</w:t>
      </w:r>
      <w:r>
        <w:t xml:space="preserve"> Inventory applications, costs, and dependencies across all current environments. Build clear baselines of where workloads run and why.</w:t>
      </w:r>
    </w:p>
    <w:p w14:paraId="356D8827" w14:textId="4BC9E6D3" w:rsidR="00E22912" w:rsidRDefault="00893692" w:rsidP="00E22912">
      <w:pPr>
        <w:pStyle w:val="Default"/>
        <w:numPr>
          <w:ilvl w:val="0"/>
          <w:numId w:val="8"/>
        </w:numPr>
      </w:pPr>
      <w:r w:rsidRPr="00E22912">
        <w:rPr>
          <w:b/>
          <w:bCs/>
        </w:rPr>
        <w:t>Align.</w:t>
      </w:r>
      <w:r>
        <w:t xml:space="preserve"> Map technology placement </w:t>
      </w:r>
      <w:proofErr w:type="gramStart"/>
      <w:r>
        <w:t>to</w:t>
      </w:r>
      <w:proofErr w:type="gramEnd"/>
      <w:r>
        <w:t xml:space="preserve"> business priorities. Innovation workloads may require hyperscale capabilities, while compliance-sensitive applications need local control, and cost-sensitive workloads benefit from predictable pricing models.</w:t>
      </w:r>
    </w:p>
    <w:p w14:paraId="00AE44C3" w14:textId="1BA903A6" w:rsidR="00E22912" w:rsidRDefault="00893692" w:rsidP="00E22912">
      <w:pPr>
        <w:pStyle w:val="Default"/>
        <w:numPr>
          <w:ilvl w:val="0"/>
          <w:numId w:val="8"/>
        </w:numPr>
      </w:pPr>
      <w:r w:rsidRPr="00E22912">
        <w:rPr>
          <w:b/>
          <w:bCs/>
        </w:rPr>
        <w:t xml:space="preserve">Act. </w:t>
      </w:r>
      <w:r>
        <w:t>Apply financial, operational, and regulatory criteria to placement decisions. Document rationale and ownership for each choice.</w:t>
      </w:r>
    </w:p>
    <w:p w14:paraId="4CF62246" w14:textId="514981BC" w:rsidR="00E22912" w:rsidRDefault="00893692" w:rsidP="0069157B">
      <w:pPr>
        <w:pStyle w:val="Default"/>
        <w:numPr>
          <w:ilvl w:val="0"/>
          <w:numId w:val="8"/>
        </w:numPr>
      </w:pPr>
      <w:r w:rsidRPr="00E22912">
        <w:rPr>
          <w:b/>
          <w:bCs/>
        </w:rPr>
        <w:t xml:space="preserve">Adapt. </w:t>
      </w:r>
      <w:r>
        <w:t>Establish governance for quarterly review and continuous optimization. Cloud markets change rapidly</w:t>
      </w:r>
      <w:r w:rsidR="00DD069B">
        <w:t xml:space="preserve"> and s</w:t>
      </w:r>
      <w:r>
        <w:t>trategies must evolve accordingly.</w:t>
      </w:r>
      <w:r>
        <w:br/>
      </w:r>
      <w:r>
        <w:lastRenderedPageBreak/>
        <w:br/>
      </w:r>
    </w:p>
    <w:p w14:paraId="1BD8D6D0" w14:textId="42119135" w:rsidR="00F01622" w:rsidRPr="008C1D10" w:rsidRDefault="00893692" w:rsidP="0069157B">
      <w:pPr>
        <w:pStyle w:val="Default"/>
        <w:rPr>
          <w:b/>
          <w:bCs/>
        </w:rPr>
      </w:pPr>
      <w:r>
        <w:t xml:space="preserve">This framework transforms cloud decisions from reactive vendor selection into </w:t>
      </w:r>
      <w:r w:rsidR="00DD069B">
        <w:t xml:space="preserve">a </w:t>
      </w:r>
      <w:r>
        <w:t>proactive business strategy. Organizations using structured approaches report clearer ROI measurement and stronger negotiation positions across all provider relationships.</w:t>
      </w:r>
      <w:r>
        <w:br/>
      </w:r>
      <w:r>
        <w:br/>
      </w:r>
      <w:r w:rsidR="00C95219" w:rsidRPr="00E22912">
        <w:rPr>
          <w:b/>
          <w:bCs/>
        </w:rPr>
        <w:t>How do you put a multi-cloud workload strategy into practice?</w:t>
      </w:r>
      <w:r>
        <w:br/>
      </w:r>
      <w:r>
        <w:br/>
        <w:t>The difference between cloud strategy and cloud success is implementation discipline. Start with workload dependency mapping to understand system interconnections before making placement decisions. Implement financial governance through FinOps practices that provide real-time cost visibility and accountability. Build exit strategies into architectural decisions to preserve future flexibility.</w:t>
      </w:r>
      <w:r>
        <w:br/>
      </w:r>
      <w:r>
        <w:br/>
        <w:t xml:space="preserve">Most importantly, treat this transformation as an organizational capability, not a technology project. </w:t>
      </w:r>
      <w:r w:rsidR="008C1D10">
        <w:t>Crosstrain</w:t>
      </w:r>
      <w:r>
        <w:t xml:space="preserve"> teams for hybrid operations. Integrate governance into daily workflows. Establish feedback mechanisms that capture lessons learned. The goal is </w:t>
      </w:r>
      <w:r w:rsidR="00DD069B">
        <w:t>to build</w:t>
      </w:r>
      <w:r>
        <w:t xml:space="preserve"> institutional knowledge that adapts as markets evolve.</w:t>
      </w:r>
      <w:r>
        <w:br/>
      </w:r>
      <w:r>
        <w:br/>
        <w:t xml:space="preserve">Cloud transformation isn't about finding the perfect provider. It's about building the capability to </w:t>
      </w:r>
      <w:r w:rsidR="00DD069B">
        <w:t xml:space="preserve">continuously </w:t>
      </w:r>
      <w:r>
        <w:t xml:space="preserve">make informed placement </w:t>
      </w:r>
      <w:r w:rsidR="00C95219">
        <w:t xml:space="preserve">and optimization </w:t>
      </w:r>
      <w:r>
        <w:t>decisions</w:t>
      </w:r>
      <w:r w:rsidR="00C95219">
        <w:t xml:space="preserve"> as the business evolves</w:t>
      </w:r>
      <w:r>
        <w:t>.</w:t>
      </w:r>
      <w:r>
        <w:br/>
      </w:r>
      <w:r>
        <w:br/>
      </w:r>
      <w:r w:rsidRPr="00E22912">
        <w:rPr>
          <w:b/>
          <w:bCs/>
        </w:rPr>
        <w:t>Frequently Asked Questions</w:t>
      </w:r>
      <w:r>
        <w:br/>
      </w:r>
      <w:r>
        <w:br/>
      </w:r>
      <w:r w:rsidRPr="00E22912">
        <w:rPr>
          <w:b/>
          <w:bCs/>
        </w:rPr>
        <w:t xml:space="preserve">Q: </w:t>
      </w:r>
      <w:r w:rsidR="00C53EDD">
        <w:t xml:space="preserve">Are mid-market cloud providers as capable as </w:t>
      </w:r>
      <w:r w:rsidR="00885D29">
        <w:t xml:space="preserve">hyperscale providers like </w:t>
      </w:r>
      <w:r w:rsidR="00C53EDD">
        <w:t>AWS or Azure</w:t>
      </w:r>
      <w:r>
        <w:t>?</w:t>
      </w:r>
      <w:r>
        <w:br/>
      </w:r>
      <w:r>
        <w:br/>
      </w:r>
      <w:r w:rsidRPr="00E22912">
        <w:rPr>
          <w:b/>
          <w:bCs/>
        </w:rPr>
        <w:t>A:</w:t>
      </w:r>
      <w:r>
        <w:t xml:space="preserve"> Modern mid-market providers offer equivalent core infrastructure capabilities, managed services, and developer tools. The difference lies in specialization: hyperscale providers </w:t>
      </w:r>
      <w:proofErr w:type="gramStart"/>
      <w:r>
        <w:t>optimize for</w:t>
      </w:r>
      <w:proofErr w:type="gramEnd"/>
      <w:r>
        <w:t xml:space="preserve"> global scale and comprehensive service portfolios, while mid-market providers focus on transparency, customer control, and regional expertise. For most enterprise workloads, the capability gap is minimal while the cost and flexibility advantages are significant.</w:t>
      </w:r>
      <w:r>
        <w:br/>
      </w:r>
      <w:r>
        <w:br/>
      </w:r>
      <w:r w:rsidRPr="00E22912">
        <w:rPr>
          <w:b/>
          <w:bCs/>
        </w:rPr>
        <w:t xml:space="preserve">Q: </w:t>
      </w:r>
      <w:r w:rsidR="00C53EDD">
        <w:t xml:space="preserve">What are the risks of leaving </w:t>
      </w:r>
      <w:r w:rsidR="00885D29">
        <w:t>hyperscale providers</w:t>
      </w:r>
      <w:r w:rsidR="00C53EDD">
        <w:t>?</w:t>
      </w:r>
      <w:r>
        <w:br/>
      </w:r>
      <w:r>
        <w:br/>
      </w:r>
      <w:r w:rsidRPr="00E22912">
        <w:rPr>
          <w:b/>
          <w:bCs/>
        </w:rPr>
        <w:t xml:space="preserve">A: </w:t>
      </w:r>
      <w:r>
        <w:t xml:space="preserve">The primary risks are skills gaps and integration complexity rather than technical capabilities. Teams trained </w:t>
      </w:r>
      <w:proofErr w:type="gramStart"/>
      <w:r>
        <w:t>on</w:t>
      </w:r>
      <w:proofErr w:type="gramEnd"/>
      <w:r>
        <w:t xml:space="preserve"> hyperscale tools need time to adapt to different platforms. Careful dependency mapping and phased migrations mitigate these risks. The VMware crisis demonstrates that perceived vendor stability can change rapidly, making diversification a </w:t>
      </w:r>
      <w:r w:rsidR="00C53EDD">
        <w:t>risk-</w:t>
      </w:r>
      <w:r>
        <w:t>mitigation strategy rather than a risk</w:t>
      </w:r>
      <w:r w:rsidR="00C53EDD">
        <w:t>-increasing</w:t>
      </w:r>
      <w:r>
        <w:t xml:space="preserve"> </w:t>
      </w:r>
      <w:r w:rsidR="00C53EDD">
        <w:t>strategy</w:t>
      </w:r>
      <w:r>
        <w:t>.</w:t>
      </w:r>
      <w:r>
        <w:br/>
      </w:r>
      <w:r>
        <w:br/>
      </w:r>
      <w:r w:rsidRPr="00E22912">
        <w:rPr>
          <w:b/>
          <w:bCs/>
        </w:rPr>
        <w:t xml:space="preserve">Q: </w:t>
      </w:r>
      <w:r w:rsidR="00C53EDD">
        <w:t>How do I calculate true cloud TCO?</w:t>
      </w:r>
      <w:r>
        <w:br/>
      </w:r>
      <w:r>
        <w:br/>
      </w:r>
      <w:r w:rsidRPr="00E22912">
        <w:rPr>
          <w:b/>
          <w:bCs/>
        </w:rPr>
        <w:lastRenderedPageBreak/>
        <w:t xml:space="preserve">A: </w:t>
      </w:r>
      <w:r>
        <w:t>True TCO evaluation must include egress fees, data transfer costs, support levels, and hidden charges that only appear at scale. Mid-market providers typically offer more transparent pricing models, while hyperscale providers may appear cheaper initially but include variable costs that create budget unpredictability. Factor in the cost of vendor lock-in and exit complexity when evaluating long-term financial impact.</w:t>
      </w:r>
      <w:r>
        <w:br/>
      </w:r>
      <w:r>
        <w:br/>
      </w:r>
      <w:r w:rsidRPr="00E22912">
        <w:rPr>
          <w:b/>
          <w:bCs/>
        </w:rPr>
        <w:t>Q:</w:t>
      </w:r>
      <w:r>
        <w:t xml:space="preserve"> </w:t>
      </w:r>
      <w:r w:rsidR="00C53EDD">
        <w:t>Do I need hyperscale for AI workloads</w:t>
      </w:r>
      <w:r>
        <w:t>?</w:t>
      </w:r>
      <w:r>
        <w:br/>
      </w:r>
      <w:r>
        <w:br/>
      </w:r>
      <w:r w:rsidRPr="00E22912">
        <w:rPr>
          <w:b/>
          <w:bCs/>
        </w:rPr>
        <w:t xml:space="preserve">A: </w:t>
      </w:r>
      <w:r>
        <w:t>AI workloads require specialized GPU resources and high-bandwidth data access, making them expensive on any platform. However, not all applications need AI capabilities, and the rush to "AI-ready" infrastructure often drives unnecessary costs. Separate AI experimentation from production workload placement decisions. Many organizations find hybrid approaches work best: hyperscale for AI development, mid-market providers for traditional applications.</w:t>
      </w:r>
      <w:r>
        <w:br/>
      </w:r>
      <w:r>
        <w:br/>
      </w:r>
      <w:r w:rsidRPr="00E22912">
        <w:rPr>
          <w:b/>
          <w:bCs/>
        </w:rPr>
        <w:t xml:space="preserve">Q: </w:t>
      </w:r>
      <w:r w:rsidR="00C53EDD">
        <w:t>How do I stay compliant across multiple cloud providers?</w:t>
      </w:r>
      <w:r>
        <w:br/>
      </w:r>
      <w:r>
        <w:br/>
      </w:r>
      <w:r w:rsidRPr="00E22912">
        <w:rPr>
          <w:b/>
          <w:bCs/>
        </w:rPr>
        <w:t xml:space="preserve">A: </w:t>
      </w:r>
      <w:r>
        <w:t>Multi-cloud security requires standardized policies and automated governance tools rather than provider-specific approaches. Focus on workload-level security controls, encrypted data flows, and identity management that works across platforms. Many mid-market providers offer stronger compliance support for specific regulations because they specialize in particular geographic or industry requirements rather than trying to be everything to everyone.</w:t>
      </w:r>
    </w:p>
    <w:sectPr w:rsidR="00F01622" w:rsidRPr="008C1D10" w:rsidSect="0024033C">
      <w:headerReference w:type="default" r:id="rId15"/>
      <w:footerReference w:type="default" r:id="rId16"/>
      <w:pgSz w:w="12240" w:h="15840"/>
      <w:pgMar w:top="1440" w:right="1260" w:bottom="1440" w:left="1620" w:header="5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9D00E" w14:textId="77777777" w:rsidR="001B30C4" w:rsidRDefault="001B30C4">
      <w:r>
        <w:separator/>
      </w:r>
    </w:p>
  </w:endnote>
  <w:endnote w:type="continuationSeparator" w:id="0">
    <w:p w14:paraId="2C2293E9" w14:textId="77777777" w:rsidR="001B30C4" w:rsidRDefault="001B3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COEKT+GillSans-Light">
    <w:altName w:val="Gill Sans"/>
    <w:charset w:val="00"/>
    <w:family w:val="swiss"/>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2DBC3" w14:textId="410F3A09" w:rsidR="00F02823" w:rsidRDefault="00146BA7" w:rsidP="00F02823">
    <w:pPr>
      <w:pStyle w:val="Footer"/>
      <w:rPr>
        <w:rFonts w:ascii="Arial" w:hAnsi="Arial" w:cs="Arial"/>
        <w:color w:val="808080"/>
        <w:sz w:val="18"/>
        <w:szCs w:val="18"/>
      </w:rPr>
    </w:pPr>
    <w:r>
      <w:rPr>
        <w:rFonts w:ascii="Arial" w:hAnsi="Arial" w:cs="Arial"/>
        <w:color w:val="7F7F7F"/>
        <w:sz w:val="18"/>
        <w:szCs w:val="18"/>
      </w:rPr>
      <w:t>PO Box 5000</w:t>
    </w:r>
    <w:r w:rsidR="00AB726F">
      <w:rPr>
        <w:rFonts w:ascii="Arial" w:hAnsi="Arial" w:cs="Arial"/>
        <w:color w:val="7F7F7F"/>
        <w:sz w:val="18"/>
        <w:szCs w:val="18"/>
      </w:rPr>
      <w:t>-</w:t>
    </w:r>
    <w:r>
      <w:rPr>
        <w:rFonts w:ascii="Arial" w:hAnsi="Arial" w:cs="Arial"/>
        <w:color w:val="7F7F7F"/>
        <w:sz w:val="18"/>
        <w:szCs w:val="18"/>
      </w:rPr>
      <w:t xml:space="preserve">122, Rancho Santa Fe, </w:t>
    </w:r>
    <w:r w:rsidRPr="00E95C46">
      <w:rPr>
        <w:rFonts w:ascii="Arial" w:hAnsi="Arial" w:cs="Arial"/>
        <w:color w:val="7F7F7F"/>
        <w:sz w:val="18"/>
        <w:szCs w:val="18"/>
      </w:rPr>
      <w:t>CA 9</w:t>
    </w:r>
    <w:r>
      <w:rPr>
        <w:rFonts w:ascii="Arial" w:hAnsi="Arial" w:cs="Arial"/>
        <w:color w:val="7F7F7F"/>
        <w:sz w:val="18"/>
        <w:szCs w:val="18"/>
      </w:rPr>
      <w:t>2067</w:t>
    </w:r>
    <w:r w:rsidRPr="00E95C46">
      <w:rPr>
        <w:rFonts w:ascii="Arial" w:hAnsi="Arial" w:cs="Arial"/>
        <w:color w:val="7F7F7F"/>
        <w:sz w:val="18"/>
        <w:szCs w:val="18"/>
      </w:rPr>
      <w:t xml:space="preserve"> | office: </w:t>
    </w:r>
    <w:r>
      <w:rPr>
        <w:rFonts w:ascii="Arial" w:hAnsi="Arial" w:cs="Arial"/>
        <w:color w:val="7F7F7F"/>
        <w:sz w:val="18"/>
        <w:szCs w:val="18"/>
      </w:rPr>
      <w:t>(</w:t>
    </w:r>
    <w:r w:rsidRPr="00E95C46">
      <w:rPr>
        <w:rFonts w:ascii="Arial" w:hAnsi="Arial" w:cs="Arial"/>
        <w:color w:val="7F7F7F"/>
        <w:sz w:val="18"/>
        <w:szCs w:val="18"/>
      </w:rPr>
      <w:t>408</w:t>
    </w:r>
    <w:r>
      <w:rPr>
        <w:rFonts w:ascii="Arial" w:hAnsi="Arial" w:cs="Arial"/>
        <w:color w:val="7F7F7F"/>
        <w:sz w:val="18"/>
        <w:szCs w:val="18"/>
      </w:rPr>
      <w:t xml:space="preserve">) </w:t>
    </w:r>
    <w:r w:rsidRPr="00E95C46">
      <w:rPr>
        <w:rFonts w:ascii="Arial" w:hAnsi="Arial" w:cs="Arial"/>
        <w:color w:val="7F7F7F"/>
        <w:sz w:val="18"/>
        <w:szCs w:val="18"/>
      </w:rPr>
      <w:t>335</w:t>
    </w:r>
    <w:r>
      <w:rPr>
        <w:rFonts w:ascii="Arial" w:hAnsi="Arial" w:cs="Arial"/>
        <w:color w:val="7F7F7F"/>
        <w:sz w:val="18"/>
        <w:szCs w:val="18"/>
      </w:rPr>
      <w:t>-</w:t>
    </w:r>
    <w:r w:rsidRPr="00E95C46">
      <w:rPr>
        <w:rFonts w:ascii="Arial" w:hAnsi="Arial" w:cs="Arial"/>
        <w:color w:val="7F7F7F"/>
        <w:sz w:val="18"/>
        <w:szCs w:val="18"/>
      </w:rPr>
      <w:t>03</w:t>
    </w:r>
    <w:r>
      <w:rPr>
        <w:rFonts w:ascii="Arial" w:hAnsi="Arial" w:cs="Arial"/>
        <w:color w:val="7F7F7F"/>
        <w:sz w:val="18"/>
        <w:szCs w:val="18"/>
      </w:rPr>
      <w:t>90 | fax: (408) 317-3335</w:t>
    </w:r>
    <w:r w:rsidR="00F02823" w:rsidRPr="00E95C46">
      <w:rPr>
        <w:rFonts w:ascii="Arial" w:hAnsi="Arial" w:cs="Arial"/>
        <w:color w:val="7F7F7F"/>
        <w:sz w:val="18"/>
        <w:szCs w:val="18"/>
      </w:rPr>
      <w:t xml:space="preserve"> </w:t>
    </w:r>
  </w:p>
  <w:p w14:paraId="14E59133" w14:textId="77777777" w:rsidR="0024033C" w:rsidRDefault="0024033C" w:rsidP="00800D9C">
    <w:pPr>
      <w:pStyle w:val="Footer"/>
      <w:rPr>
        <w:rFonts w:ascii="Arial" w:hAnsi="Arial" w:cs="Arial"/>
        <w:color w:val="808080"/>
        <w:sz w:val="18"/>
        <w:szCs w:val="18"/>
      </w:rPr>
    </w:pPr>
  </w:p>
  <w:p w14:paraId="45FFFE56" w14:textId="77777777" w:rsidR="0024033C" w:rsidRPr="0024033C" w:rsidRDefault="0024033C" w:rsidP="00800D9C">
    <w:pPr>
      <w:pStyle w:val="Footer"/>
      <w:rPr>
        <w:rStyle w:val="PageNumber"/>
        <w:rFonts w:ascii="Arial" w:hAnsi="Arial" w:cs="Arial"/>
        <w:color w:val="808080"/>
        <w:sz w:val="18"/>
        <w:szCs w:val="18"/>
      </w:rPr>
    </w:pPr>
  </w:p>
  <w:p w14:paraId="08CCF48C" w14:textId="77777777" w:rsidR="00972844" w:rsidRPr="000F4A4C" w:rsidRDefault="00972844" w:rsidP="00972844">
    <w:pPr>
      <w:pStyle w:val="Footer"/>
      <w:ind w:left="-1620"/>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A0B2F" w14:textId="77777777" w:rsidR="001B30C4" w:rsidRDefault="001B30C4">
      <w:r>
        <w:separator/>
      </w:r>
    </w:p>
  </w:footnote>
  <w:footnote w:type="continuationSeparator" w:id="0">
    <w:p w14:paraId="594C208D" w14:textId="77777777" w:rsidR="001B30C4" w:rsidRDefault="001B3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4D5A" w14:textId="77777777" w:rsidR="00972844" w:rsidRDefault="00202CAD" w:rsidP="00012569">
    <w:pPr>
      <w:pStyle w:val="Header"/>
    </w:pPr>
    <w:r>
      <w:rPr>
        <w:noProof/>
      </w:rPr>
      <w:drawing>
        <wp:inline distT="0" distB="0" distL="0" distR="0" wp14:anchorId="5C53DE0C" wp14:editId="187A47DB">
          <wp:extent cx="2727325" cy="485140"/>
          <wp:effectExtent l="0" t="0" r="0" b="0"/>
          <wp:docPr id="1" name="Picture 1" descr="em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em log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325" cy="485140"/>
                  </a:xfrm>
                  <a:prstGeom prst="rect">
                    <a:avLst/>
                  </a:prstGeom>
                  <a:noFill/>
                  <a:ln>
                    <a:noFill/>
                  </a:ln>
                </pic:spPr>
              </pic:pic>
            </a:graphicData>
          </a:graphic>
        </wp:inline>
      </w:drawing>
    </w:r>
  </w:p>
  <w:p w14:paraId="5FEE49FD" w14:textId="77777777" w:rsidR="00972844" w:rsidRDefault="00972844" w:rsidP="00EF1739">
    <w:pPr>
      <w:pStyle w:val="Header"/>
      <w:ind w:left="-1080"/>
      <w:jc w:val="center"/>
    </w:pPr>
  </w:p>
  <w:p w14:paraId="53995603" w14:textId="77777777" w:rsidR="00972844" w:rsidRDefault="00972844" w:rsidP="00EF1739">
    <w:pPr>
      <w:pStyle w:val="Header"/>
      <w:ind w:left="-108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1CFE"/>
    <w:multiLevelType w:val="hybridMultilevel"/>
    <w:tmpl w:val="D95AF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435F75"/>
    <w:multiLevelType w:val="hybridMultilevel"/>
    <w:tmpl w:val="D5BE66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D87421B"/>
    <w:multiLevelType w:val="hybridMultilevel"/>
    <w:tmpl w:val="700884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3E7DB6"/>
    <w:multiLevelType w:val="hybridMultilevel"/>
    <w:tmpl w:val="0F405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31077D"/>
    <w:multiLevelType w:val="hybridMultilevel"/>
    <w:tmpl w:val="ED4AB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D45146"/>
    <w:multiLevelType w:val="hybridMultilevel"/>
    <w:tmpl w:val="3552D5EC"/>
    <w:lvl w:ilvl="0" w:tplc="17FA16F0">
      <w:start w:val="1"/>
      <w:numFmt w:val="decimal"/>
      <w:lvlText w:val="%1.)"/>
      <w:lvlJc w:val="left"/>
      <w:pPr>
        <w:tabs>
          <w:tab w:val="num" w:pos="735"/>
        </w:tabs>
        <w:ind w:left="73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7A742CB"/>
    <w:multiLevelType w:val="hybridMultilevel"/>
    <w:tmpl w:val="EA488CD0"/>
    <w:lvl w:ilvl="0" w:tplc="4BDCBB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D28734E"/>
    <w:multiLevelType w:val="multilevel"/>
    <w:tmpl w:val="990A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3942006">
    <w:abstractNumId w:val="7"/>
  </w:num>
  <w:num w:numId="2" w16cid:durableId="1100829574">
    <w:abstractNumId w:val="1"/>
  </w:num>
  <w:num w:numId="3" w16cid:durableId="2118985338">
    <w:abstractNumId w:val="5"/>
  </w:num>
  <w:num w:numId="4" w16cid:durableId="1378778634">
    <w:abstractNumId w:val="6"/>
  </w:num>
  <w:num w:numId="5" w16cid:durableId="2049408459">
    <w:abstractNumId w:val="2"/>
  </w:num>
  <w:num w:numId="6" w16cid:durableId="892036136">
    <w:abstractNumId w:val="0"/>
  </w:num>
  <w:num w:numId="7" w16cid:durableId="1843617189">
    <w:abstractNumId w:val="3"/>
  </w:num>
  <w:num w:numId="8" w16cid:durableId="3012278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34"/>
    <w:rsid w:val="000040F1"/>
    <w:rsid w:val="00005931"/>
    <w:rsid w:val="00012569"/>
    <w:rsid w:val="000260F8"/>
    <w:rsid w:val="00066916"/>
    <w:rsid w:val="00066C3F"/>
    <w:rsid w:val="00082C33"/>
    <w:rsid w:val="000961DE"/>
    <w:rsid w:val="000A1CEC"/>
    <w:rsid w:val="000F4A4C"/>
    <w:rsid w:val="00113722"/>
    <w:rsid w:val="00122DA0"/>
    <w:rsid w:val="00123391"/>
    <w:rsid w:val="00123958"/>
    <w:rsid w:val="00146BA7"/>
    <w:rsid w:val="00163860"/>
    <w:rsid w:val="00164795"/>
    <w:rsid w:val="0018230F"/>
    <w:rsid w:val="0019289E"/>
    <w:rsid w:val="001B30C4"/>
    <w:rsid w:val="001C5742"/>
    <w:rsid w:val="001C6A68"/>
    <w:rsid w:val="001E2F28"/>
    <w:rsid w:val="001F1A71"/>
    <w:rsid w:val="001F243C"/>
    <w:rsid w:val="00202CAD"/>
    <w:rsid w:val="00213390"/>
    <w:rsid w:val="00235803"/>
    <w:rsid w:val="0024033C"/>
    <w:rsid w:val="00275224"/>
    <w:rsid w:val="002A300E"/>
    <w:rsid w:val="002B474C"/>
    <w:rsid w:val="002D5467"/>
    <w:rsid w:val="002D6AAC"/>
    <w:rsid w:val="002E27C5"/>
    <w:rsid w:val="00315FDD"/>
    <w:rsid w:val="0032369F"/>
    <w:rsid w:val="00342A93"/>
    <w:rsid w:val="003E6D09"/>
    <w:rsid w:val="003E6DF2"/>
    <w:rsid w:val="00421AE0"/>
    <w:rsid w:val="00447E41"/>
    <w:rsid w:val="00450B54"/>
    <w:rsid w:val="00461064"/>
    <w:rsid w:val="00464431"/>
    <w:rsid w:val="0047323E"/>
    <w:rsid w:val="00476842"/>
    <w:rsid w:val="004B1B5A"/>
    <w:rsid w:val="004D172F"/>
    <w:rsid w:val="004E55FC"/>
    <w:rsid w:val="00523601"/>
    <w:rsid w:val="00523D75"/>
    <w:rsid w:val="00546907"/>
    <w:rsid w:val="005E2A07"/>
    <w:rsid w:val="00603828"/>
    <w:rsid w:val="006216A2"/>
    <w:rsid w:val="0064492D"/>
    <w:rsid w:val="00683F74"/>
    <w:rsid w:val="0068515B"/>
    <w:rsid w:val="0068588D"/>
    <w:rsid w:val="0069157B"/>
    <w:rsid w:val="006A3B46"/>
    <w:rsid w:val="007B02AA"/>
    <w:rsid w:val="007C54EB"/>
    <w:rsid w:val="007D3A53"/>
    <w:rsid w:val="007F37E4"/>
    <w:rsid w:val="00800D9C"/>
    <w:rsid w:val="008161C6"/>
    <w:rsid w:val="00843D38"/>
    <w:rsid w:val="00845153"/>
    <w:rsid w:val="00885D29"/>
    <w:rsid w:val="00893692"/>
    <w:rsid w:val="008A3E98"/>
    <w:rsid w:val="008C1D10"/>
    <w:rsid w:val="008C5ABA"/>
    <w:rsid w:val="008C7B6D"/>
    <w:rsid w:val="008D6B9C"/>
    <w:rsid w:val="008E12B5"/>
    <w:rsid w:val="008F2FBB"/>
    <w:rsid w:val="009005A3"/>
    <w:rsid w:val="00913CD1"/>
    <w:rsid w:val="00927D8E"/>
    <w:rsid w:val="00932CE6"/>
    <w:rsid w:val="0096523D"/>
    <w:rsid w:val="00972844"/>
    <w:rsid w:val="00983E78"/>
    <w:rsid w:val="00996832"/>
    <w:rsid w:val="009A290D"/>
    <w:rsid w:val="009A3E62"/>
    <w:rsid w:val="009E6624"/>
    <w:rsid w:val="009F789D"/>
    <w:rsid w:val="00A0367A"/>
    <w:rsid w:val="00A12E26"/>
    <w:rsid w:val="00A17651"/>
    <w:rsid w:val="00A17EB5"/>
    <w:rsid w:val="00A654F2"/>
    <w:rsid w:val="00AB726F"/>
    <w:rsid w:val="00AE1934"/>
    <w:rsid w:val="00AE21ED"/>
    <w:rsid w:val="00B03267"/>
    <w:rsid w:val="00B26FDA"/>
    <w:rsid w:val="00B304FD"/>
    <w:rsid w:val="00B760A6"/>
    <w:rsid w:val="00C10DEB"/>
    <w:rsid w:val="00C53EDD"/>
    <w:rsid w:val="00C80A9F"/>
    <w:rsid w:val="00C95219"/>
    <w:rsid w:val="00CE6431"/>
    <w:rsid w:val="00CF5929"/>
    <w:rsid w:val="00D13CB3"/>
    <w:rsid w:val="00D20EDB"/>
    <w:rsid w:val="00D3692B"/>
    <w:rsid w:val="00D44C1C"/>
    <w:rsid w:val="00DB1FDE"/>
    <w:rsid w:val="00DB65EC"/>
    <w:rsid w:val="00DC5755"/>
    <w:rsid w:val="00DC6A78"/>
    <w:rsid w:val="00DD069B"/>
    <w:rsid w:val="00DF41A0"/>
    <w:rsid w:val="00E00FFC"/>
    <w:rsid w:val="00E17274"/>
    <w:rsid w:val="00E22912"/>
    <w:rsid w:val="00E5280F"/>
    <w:rsid w:val="00E602CD"/>
    <w:rsid w:val="00E62627"/>
    <w:rsid w:val="00E65594"/>
    <w:rsid w:val="00E83987"/>
    <w:rsid w:val="00E873CC"/>
    <w:rsid w:val="00E95C46"/>
    <w:rsid w:val="00EB0A58"/>
    <w:rsid w:val="00EC622C"/>
    <w:rsid w:val="00EF1739"/>
    <w:rsid w:val="00EF2402"/>
    <w:rsid w:val="00F01622"/>
    <w:rsid w:val="00F02823"/>
    <w:rsid w:val="00F142B7"/>
    <w:rsid w:val="00F15C52"/>
    <w:rsid w:val="00F2262E"/>
    <w:rsid w:val="00F33642"/>
    <w:rsid w:val="00F438E1"/>
    <w:rsid w:val="00FB5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350A42"/>
  <w14:defaultImageDpi w14:val="300"/>
  <w15:chartTrackingRefBased/>
  <w15:docId w15:val="{97E9051D-F611-1844-BF20-58A81A086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sid w:val="00E873CC"/>
    <w:rPr>
      <w:sz w:val="24"/>
      <w:szCs w:val="24"/>
    </w:rPr>
  </w:style>
  <w:style w:type="paragraph" w:styleId="Heading1">
    <w:name w:val="heading 1"/>
    <w:basedOn w:val="Normal"/>
    <w:next w:val="Normal"/>
    <w:qFormat/>
    <w:rsid w:val="00F01622"/>
    <w:pPr>
      <w:keepNext/>
      <w:outlineLvl w:val="0"/>
    </w:pPr>
    <w:rPr>
      <w:rFonts w:ascii="Arial" w:hAnsi="Arial" w:cs="Arial"/>
      <w:b/>
      <w:bCs/>
      <w:color w:val="0065C6"/>
      <w:kern w:val="32"/>
      <w:sz w:val="32"/>
      <w:szCs w:val="32"/>
    </w:rPr>
  </w:style>
  <w:style w:type="paragraph" w:styleId="Heading2">
    <w:name w:val="heading 2"/>
    <w:basedOn w:val="Normal"/>
    <w:next w:val="Normal"/>
    <w:qFormat/>
    <w:rsid w:val="00F01622"/>
    <w:pPr>
      <w:keepNext/>
      <w:outlineLvl w:val="1"/>
    </w:pPr>
    <w:rPr>
      <w:rFonts w:ascii="Arial" w:hAnsi="Arial" w:cs="Arial"/>
      <w:b/>
      <w:bCs/>
      <w:i/>
      <w:iCs/>
      <w:color w:val="80808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4033C"/>
    <w:pPr>
      <w:autoSpaceDE w:val="0"/>
      <w:autoSpaceDN w:val="0"/>
      <w:adjustRightInd w:val="0"/>
    </w:pPr>
    <w:rPr>
      <w:rFonts w:ascii="Arial" w:hAnsi="Arial" w:cs="MCOEKT+GillSans-Light"/>
      <w:color w:val="808080"/>
      <w:sz w:val="24"/>
      <w:szCs w:val="24"/>
    </w:rPr>
  </w:style>
  <w:style w:type="paragraph" w:styleId="Header">
    <w:name w:val="header"/>
    <w:basedOn w:val="Normal"/>
    <w:rsid w:val="000F4A4C"/>
    <w:pPr>
      <w:tabs>
        <w:tab w:val="center" w:pos="4320"/>
        <w:tab w:val="right" w:pos="8640"/>
      </w:tabs>
    </w:pPr>
  </w:style>
  <w:style w:type="paragraph" w:styleId="Footer">
    <w:name w:val="footer"/>
    <w:basedOn w:val="Normal"/>
    <w:rsid w:val="000F4A4C"/>
    <w:pPr>
      <w:tabs>
        <w:tab w:val="center" w:pos="4320"/>
        <w:tab w:val="right" w:pos="8640"/>
      </w:tabs>
    </w:pPr>
  </w:style>
  <w:style w:type="character" w:styleId="PageNumber">
    <w:name w:val="page number"/>
    <w:basedOn w:val="DefaultParagraphFont"/>
    <w:rsid w:val="000F4A4C"/>
  </w:style>
  <w:style w:type="paragraph" w:styleId="BalloonText">
    <w:name w:val="Balloon Text"/>
    <w:basedOn w:val="Normal"/>
    <w:semiHidden/>
    <w:rsid w:val="0018230F"/>
    <w:rPr>
      <w:rFonts w:ascii="Tahoma" w:hAnsi="Tahoma" w:cs="Tahoma"/>
      <w:sz w:val="16"/>
      <w:szCs w:val="16"/>
    </w:rPr>
  </w:style>
  <w:style w:type="character" w:styleId="Hyperlink">
    <w:name w:val="Hyperlink"/>
    <w:rsid w:val="0024033C"/>
    <w:rPr>
      <w:color w:val="0000FF"/>
      <w:u w:val="single"/>
    </w:rPr>
  </w:style>
  <w:style w:type="paragraph" w:styleId="Revision">
    <w:name w:val="Revision"/>
    <w:hidden/>
    <w:uiPriority w:val="62"/>
    <w:rsid w:val="0064492D"/>
    <w:rPr>
      <w:sz w:val="24"/>
      <w:szCs w:val="24"/>
    </w:rPr>
  </w:style>
  <w:style w:type="character" w:styleId="UnresolvedMention">
    <w:name w:val="Unresolved Mention"/>
    <w:basedOn w:val="DefaultParagraphFont"/>
    <w:uiPriority w:val="47"/>
    <w:rsid w:val="0064492D"/>
    <w:rPr>
      <w:color w:val="605E5C"/>
      <w:shd w:val="clear" w:color="auto" w:fill="E1DFDD"/>
    </w:rPr>
  </w:style>
  <w:style w:type="paragraph" w:customStyle="1" w:styleId="p1">
    <w:name w:val="p1"/>
    <w:basedOn w:val="Normal"/>
    <w:rsid w:val="0064492D"/>
    <w:rPr>
      <w:rFonts w:ascii="Helvetica" w:hAnsi="Helvetica"/>
      <w:color w:val="305897"/>
      <w:sz w:val="9"/>
      <w:szCs w:val="9"/>
      <w:lang w:val="en-GB" w:eastAsia="en-GB"/>
    </w:rPr>
  </w:style>
  <w:style w:type="character" w:customStyle="1" w:styleId="s1">
    <w:name w:val="s1"/>
    <w:basedOn w:val="DefaultParagraphFont"/>
    <w:rsid w:val="0064492D"/>
    <w:rPr>
      <w:color w:val="2D2E2B"/>
    </w:rPr>
  </w:style>
  <w:style w:type="character" w:styleId="FollowedHyperlink">
    <w:name w:val="FollowedHyperlink"/>
    <w:basedOn w:val="DefaultParagraphFont"/>
    <w:rsid w:val="0064492D"/>
    <w:rPr>
      <w:color w:val="96607D" w:themeColor="followedHyperlink"/>
      <w:u w:val="single"/>
    </w:rPr>
  </w:style>
  <w:style w:type="character" w:styleId="CommentReference">
    <w:name w:val="annotation reference"/>
    <w:basedOn w:val="DefaultParagraphFont"/>
    <w:rsid w:val="00AE21ED"/>
    <w:rPr>
      <w:sz w:val="16"/>
      <w:szCs w:val="16"/>
    </w:rPr>
  </w:style>
  <w:style w:type="paragraph" w:styleId="CommentText">
    <w:name w:val="annotation text"/>
    <w:basedOn w:val="Normal"/>
    <w:link w:val="CommentTextChar"/>
    <w:rsid w:val="00AE21ED"/>
    <w:rPr>
      <w:sz w:val="20"/>
      <w:szCs w:val="20"/>
    </w:rPr>
  </w:style>
  <w:style w:type="character" w:customStyle="1" w:styleId="CommentTextChar">
    <w:name w:val="Comment Text Char"/>
    <w:basedOn w:val="DefaultParagraphFont"/>
    <w:link w:val="CommentText"/>
    <w:rsid w:val="00AE21ED"/>
  </w:style>
  <w:style w:type="paragraph" w:styleId="CommentSubject">
    <w:name w:val="annotation subject"/>
    <w:basedOn w:val="CommentText"/>
    <w:next w:val="CommentText"/>
    <w:link w:val="CommentSubjectChar"/>
    <w:rsid w:val="00AE21ED"/>
    <w:rPr>
      <w:b/>
      <w:bCs/>
    </w:rPr>
  </w:style>
  <w:style w:type="character" w:customStyle="1" w:styleId="CommentSubjectChar">
    <w:name w:val="Comment Subject Char"/>
    <w:basedOn w:val="CommentTextChar"/>
    <w:link w:val="CommentSubject"/>
    <w:rsid w:val="00AE2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deloitte.com/us/en/insights/industry/technology/technology-media-and-telecom-predictions/2025/tmt-predictions-finops-tools-help-lower-cloud-spending.htm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ispe.cloud/website_cispe/wp-content/uploads/2025/05/Appendix-to-Broadcom-Report-002.pd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nctad.org/page/data-protection-and-privacy-legislation-worldwide"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www.deloitte.com/us/en/insights/industry/technology/technology-media-and-telecom-predictions/2025/tmt-predictions-finops-tools-help-lower-cloud-spending.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goldmansachs.com/insights/articles/ai-to-drive-165-increase-in-data-center-power-demand-by-20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526A861C8A80FF42A61924CC7F1792A7" ma:contentTypeVersion="2" ma:contentTypeDescription="Create a new document." ma:contentTypeScope="" ma:versionID="de4524f202512b8dac4879c789882a1c">
  <xsd:schema xmlns:xsd="http://www.w3.org/2001/XMLSchema" xmlns:xs="http://www.w3.org/2001/XMLSchema" xmlns:p="http://schemas.microsoft.com/office/2006/metadata/properties" xmlns:ns2="e82fd061-1341-466d-8fb4-b07bc394cb52" targetNamespace="http://schemas.microsoft.com/office/2006/metadata/properties" ma:root="true" ma:fieldsID="a9b260e7057464d144aa62e2cd668612" ns2:_="">
    <xsd:import namespace="e82fd061-1341-466d-8fb4-b07bc394cb5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2fd061-1341-466d-8fb4-b07bc394c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DFF1AA-4072-7546-9445-E1C24785FA3F}">
  <ds:schemaRefs>
    <ds:schemaRef ds:uri="http://schemas.microsoft.com/sharepoint/v3/contenttype/forms"/>
  </ds:schemaRefs>
</ds:datastoreItem>
</file>

<file path=customXml/itemProps2.xml><?xml version="1.0" encoding="utf-8"?>
<ds:datastoreItem xmlns:ds="http://schemas.openxmlformats.org/officeDocument/2006/customXml" ds:itemID="{C9B6049E-924E-0647-9ED6-FA18F83FB055}">
  <ds:schemaRefs>
    <ds:schemaRef ds:uri="http://schemas.openxmlformats.org/officeDocument/2006/bibliography"/>
  </ds:schemaRefs>
</ds:datastoreItem>
</file>

<file path=customXml/itemProps3.xml><?xml version="1.0" encoding="utf-8"?>
<ds:datastoreItem xmlns:ds="http://schemas.openxmlformats.org/officeDocument/2006/customXml" ds:itemID="{55182C81-6BFA-4D02-95E4-88D3130D1F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2fd061-1341-466d-8fb4-b07bc394cb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1148</Words>
  <Characters>7653</Characters>
  <Application>Microsoft Office Word</Application>
  <DocSecurity>0</DocSecurity>
  <Lines>173</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Exact Market</dc:creator>
  <cp:keywords/>
  <dc:description/>
  <cp:lastModifiedBy>Adam Harshberger</cp:lastModifiedBy>
  <cp:revision>3</cp:revision>
  <cp:lastPrinted>2007-12-12T21:01:00Z</cp:lastPrinted>
  <dcterms:created xsi:type="dcterms:W3CDTF">2026-04-03T19:29:00Z</dcterms:created>
  <dcterms:modified xsi:type="dcterms:W3CDTF">2026-04-03T22:34:00Z</dcterms:modified>
  <cp:category/>
</cp:coreProperties>
</file>