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XGBoost Training Data Adequacy Assessment</w:t>
      </w:r>
    </w:p>
    <w:p>
      <w:pPr>
        <w:spacing w:after="280"/>
      </w:pPr>
      <w:r>
        <w:rPr>
          <w:rFonts w:ascii="Aptos" w:hAnsi="Aptos"/>
          <w:color w:val="667085"/>
          <w:sz w:val="25"/>
        </w:rPr>
        <w:t>Evaluation of 1.5 Billion IoT Telemetry Rows for Predictive Maintenance</w:t>
      </w:r>
    </w:p>
    <w:p>
      <w:pPr>
        <w:pStyle w:val="Heading1"/>
      </w:pPr>
      <w:r>
        <w:t>Executive assessment</w:t>
      </w:r>
    </w:p>
    <w:p>
      <w:pPr>
        <w:spacing w:after="140" w:line="259" w:lineRule="auto"/>
      </w:pPr>
      <w:r>
        <w:rPr>
          <w:rFonts w:ascii="Aptos" w:hAnsi="Aptos"/>
        </w:rPr>
        <w:t>A telemetry table with 1.5 billion rows is more than sufficient by volume for this XGBoost workflow. The likely constraints are the number and diversity of failure events, the realism of the pre-failure signal, and whether evaluation prevents leakage across time and equipment. Adding more ordinary telemetry will not improve the model if those constraints remain unchanged.</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shd w:fill="17365D"/>
            <w:tcBorders>
              <w:top w:val="single" w:sz="4" w:color="D0D5DD"/>
              <w:left w:val="single" w:sz="4" w:color="D0D5DD"/>
              <w:bottom w:val="single" w:sz="4" w:color="D0D5DD"/>
              <w:right w:val="single" w:sz="4" w:color="D0D5DD"/>
              <w:insideH w:val="single" w:sz="4" w:color="D0D5DD"/>
              <w:insideV w:val="single" w:sz="4" w:color="D0D5DD"/>
            </w:tcBorders>
            <w:vAlign w:val="center"/>
          </w:tcPr>
          <w:p>
            <w:pPr>
              <w:spacing w:after="0"/>
            </w:pPr>
            <w:r>
              <w:rPr>
                <w:rFonts w:ascii="Aptos" w:hAnsi="Aptos"/>
                <w:b/>
                <w:color w:val="FFFFFF"/>
                <w:sz w:val="18"/>
              </w:rPr>
              <w:t>Measure</w:t>
            </w:r>
          </w:p>
        </w:tc>
        <w:tc>
          <w:tcPr>
            <w:tcW w:type="dxa" w:w="2232"/>
            <w:shd w:fill="17365D"/>
            <w:tcBorders>
              <w:top w:val="single" w:sz="4" w:color="D0D5DD"/>
              <w:left w:val="single" w:sz="4" w:color="D0D5DD"/>
              <w:bottom w:val="single" w:sz="4" w:color="D0D5DD"/>
              <w:right w:val="single" w:sz="4" w:color="D0D5DD"/>
              <w:insideH w:val="single" w:sz="4" w:color="D0D5DD"/>
              <w:insideV w:val="single" w:sz="4" w:color="D0D5DD"/>
            </w:tcBorders>
            <w:vAlign w:val="center"/>
          </w:tcPr>
          <w:p>
            <w:pPr>
              <w:spacing w:after="0"/>
            </w:pPr>
            <w:r>
              <w:rPr>
                <w:rFonts w:ascii="Aptos" w:hAnsi="Aptos"/>
                <w:b/>
                <w:color w:val="FFFFFF"/>
                <w:sz w:val="18"/>
              </w:rPr>
              <w:t>Illustrative scale</w:t>
            </w:r>
          </w:p>
        </w:tc>
        <w:tc>
          <w:tcPr>
            <w:tcW w:type="dxa" w:w="5544"/>
            <w:shd w:fill="17365D"/>
            <w:tcBorders>
              <w:top w:val="single" w:sz="4" w:color="D0D5DD"/>
              <w:left w:val="single" w:sz="4" w:color="D0D5DD"/>
              <w:bottom w:val="single" w:sz="4" w:color="D0D5DD"/>
              <w:right w:val="single" w:sz="4" w:color="D0D5DD"/>
              <w:insideH w:val="single" w:sz="4" w:color="D0D5DD"/>
              <w:insideV w:val="single" w:sz="4" w:color="D0D5DD"/>
            </w:tcBorders>
            <w:vAlign w:val="center"/>
          </w:tcPr>
          <w:p>
            <w:pPr>
              <w:spacing w:after="0"/>
            </w:pPr>
            <w:r>
              <w:rPr>
                <w:rFonts w:ascii="Aptos" w:hAnsi="Aptos"/>
                <w:b/>
                <w:color w:val="FFFFFF"/>
                <w:sz w:val="18"/>
              </w:rPr>
              <w:t>Meaning for training</w:t>
            </w:r>
          </w:p>
        </w:tc>
      </w:tr>
      <w:tr>
        <w:tc>
          <w:tcPr>
            <w:tcW w:type="dxa" w:w="2232"/>
            <w:shd w:fill="EAF2F8"/>
            <w:tcBorders>
              <w:top w:val="single" w:sz="4" w:color="D0D5DD"/>
              <w:left w:val="single" w:sz="4" w:color="D0D5DD"/>
              <w:bottom w:val="single" w:sz="4" w:color="D0D5DD"/>
              <w:right w:val="single" w:sz="4" w:color="D0D5DD"/>
              <w:insideH w:val="single" w:sz="4" w:color="D0D5DD"/>
              <w:insideV w:val="single" w:sz="4" w:color="D0D5DD"/>
            </w:tcBorders>
            <w:vAlign w:val="center"/>
          </w:tcPr>
          <w:p>
            <w:pPr>
              <w:spacing w:after="0" w:before="0"/>
            </w:pPr>
            <w:r>
              <w:rPr>
                <w:rFonts w:ascii="Aptos" w:hAnsi="Aptos"/>
                <w:sz w:val="17"/>
              </w:rPr>
              <w:t>Raw telemetry</w:t>
            </w:r>
          </w:p>
        </w:tc>
        <w:tc>
          <w:tcPr>
            <w:tcW w:type="dxa" w:w="2232"/>
            <w:shd w:fill="EAF2F8"/>
            <w:tcBorders>
              <w:top w:val="single" w:sz="4" w:color="D0D5DD"/>
              <w:left w:val="single" w:sz="4" w:color="D0D5DD"/>
              <w:bottom w:val="single" w:sz="4" w:color="D0D5DD"/>
              <w:right w:val="single" w:sz="4" w:color="D0D5DD"/>
              <w:insideH w:val="single" w:sz="4" w:color="D0D5DD"/>
              <w:insideV w:val="single" w:sz="4" w:color="D0D5DD"/>
            </w:tcBorders>
            <w:vAlign w:val="center"/>
          </w:tcPr>
          <w:p>
            <w:pPr>
              <w:spacing w:after="0" w:before="0"/>
            </w:pPr>
            <w:r>
              <w:rPr>
                <w:rFonts w:ascii="Aptos" w:hAnsi="Aptos"/>
                <w:sz w:val="17"/>
              </w:rPr>
              <w:t>1.5 billion rows</w:t>
            </w:r>
          </w:p>
        </w:tc>
        <w:tc>
          <w:tcPr>
            <w:tcW w:type="dxa" w:w="5544"/>
            <w:shd w:fill="EAF2F8"/>
            <w:tcBorders>
              <w:top w:val="single" w:sz="4" w:color="D0D5DD"/>
              <w:left w:val="single" w:sz="4" w:color="D0D5DD"/>
              <w:bottom w:val="single" w:sz="4" w:color="D0D5DD"/>
              <w:right w:val="single" w:sz="4" w:color="D0D5DD"/>
              <w:insideH w:val="single" w:sz="4" w:color="D0D5DD"/>
              <w:insideV w:val="single" w:sz="4" w:color="D0D5DD"/>
            </w:tcBorders>
            <w:vAlign w:val="center"/>
          </w:tcPr>
          <w:p>
            <w:pPr>
              <w:spacing w:after="0" w:before="0"/>
            </w:pPr>
            <w:r>
              <w:rPr>
                <w:rFonts w:ascii="Aptos" w:hAnsi="Aptos"/>
                <w:sz w:val="17"/>
              </w:rPr>
              <w:t>Ample source data for feature aggregation</w:t>
            </w:r>
          </w:p>
        </w:tc>
      </w:tr>
      <w:tr>
        <w:tc>
          <w:tcPr>
            <w:tcW w:type="dxa" w:w="2232"/>
            <w:shd w:fill="FFFFFF"/>
            <w:tcBorders>
              <w:top w:val="single" w:sz="4" w:color="D0D5DD"/>
              <w:left w:val="single" w:sz="4" w:color="D0D5DD"/>
              <w:bottom w:val="single" w:sz="4" w:color="D0D5DD"/>
              <w:right w:val="single" w:sz="4" w:color="D0D5DD"/>
              <w:insideH w:val="single" w:sz="4" w:color="D0D5DD"/>
              <w:insideV w:val="single" w:sz="4" w:color="D0D5DD"/>
            </w:tcBorders>
            <w:vAlign w:val="center"/>
          </w:tcPr>
          <w:p>
            <w:pPr>
              <w:spacing w:after="0" w:before="0"/>
            </w:pPr>
            <w:r>
              <w:rPr>
                <w:rFonts w:ascii="Aptos" w:hAnsi="Aptos"/>
                <w:sz w:val="17"/>
              </w:rPr>
              <w:t>Fleet</w:t>
            </w:r>
          </w:p>
        </w:tc>
        <w:tc>
          <w:tcPr>
            <w:tcW w:type="dxa" w:w="2232"/>
            <w:shd w:fill="FFFFFF"/>
            <w:tcBorders>
              <w:top w:val="single" w:sz="4" w:color="D0D5DD"/>
              <w:left w:val="single" w:sz="4" w:color="D0D5DD"/>
              <w:bottom w:val="single" w:sz="4" w:color="D0D5DD"/>
              <w:right w:val="single" w:sz="4" w:color="D0D5DD"/>
              <w:insideH w:val="single" w:sz="4" w:color="D0D5DD"/>
              <w:insideV w:val="single" w:sz="4" w:color="D0D5DD"/>
            </w:tcBorders>
            <w:vAlign w:val="center"/>
          </w:tcPr>
          <w:p>
            <w:pPr>
              <w:spacing w:after="0" w:before="0"/>
            </w:pPr>
            <w:r>
              <w:rPr>
                <w:rFonts w:ascii="Aptos" w:hAnsi="Aptos"/>
                <w:sz w:val="17"/>
              </w:rPr>
              <w:t>100,000 machines</w:t>
            </w:r>
          </w:p>
        </w:tc>
        <w:tc>
          <w:tcPr>
            <w:tcW w:type="dxa" w:w="5544"/>
            <w:shd w:fill="FFFFFF"/>
            <w:tcBorders>
              <w:top w:val="single" w:sz="4" w:color="D0D5DD"/>
              <w:left w:val="single" w:sz="4" w:color="D0D5DD"/>
              <w:bottom w:val="single" w:sz="4" w:color="D0D5DD"/>
              <w:right w:val="single" w:sz="4" w:color="D0D5DD"/>
              <w:insideH w:val="single" w:sz="4" w:color="D0D5DD"/>
              <w:insideV w:val="single" w:sz="4" w:color="D0D5DD"/>
            </w:tcBorders>
            <w:vAlign w:val="center"/>
          </w:tcPr>
          <w:p>
            <w:pPr>
              <w:spacing w:after="0" w:before="0"/>
            </w:pPr>
            <w:r>
              <w:rPr>
                <w:rFonts w:ascii="Aptos" w:hAnsi="Aptos"/>
                <w:sz w:val="17"/>
              </w:rPr>
              <w:t>About 15,000 readings per machine</w:t>
            </w:r>
          </w:p>
        </w:tc>
      </w:tr>
      <w:tr>
        <w:tc>
          <w:tcPr>
            <w:tcW w:type="dxa" w:w="2232"/>
            <w:shd w:fill="EAF2F8"/>
            <w:tcBorders>
              <w:top w:val="single" w:sz="4" w:color="D0D5DD"/>
              <w:left w:val="single" w:sz="4" w:color="D0D5DD"/>
              <w:bottom w:val="single" w:sz="4" w:color="D0D5DD"/>
              <w:right w:val="single" w:sz="4" w:color="D0D5DD"/>
              <w:insideH w:val="single" w:sz="4" w:color="D0D5DD"/>
              <w:insideV w:val="single" w:sz="4" w:color="D0D5DD"/>
            </w:tcBorders>
            <w:vAlign w:val="center"/>
          </w:tcPr>
          <w:p>
            <w:pPr>
              <w:spacing w:after="0" w:before="0"/>
            </w:pPr>
            <w:r>
              <w:rPr>
                <w:rFonts w:ascii="Aptos" w:hAnsi="Aptos"/>
                <w:sz w:val="17"/>
              </w:rPr>
              <w:t>History</w:t>
            </w:r>
          </w:p>
        </w:tc>
        <w:tc>
          <w:tcPr>
            <w:tcW w:type="dxa" w:w="2232"/>
            <w:shd w:fill="EAF2F8"/>
            <w:tcBorders>
              <w:top w:val="single" w:sz="4" w:color="D0D5DD"/>
              <w:left w:val="single" w:sz="4" w:color="D0D5DD"/>
              <w:bottom w:val="single" w:sz="4" w:color="D0D5DD"/>
              <w:right w:val="single" w:sz="4" w:color="D0D5DD"/>
              <w:insideH w:val="single" w:sz="4" w:color="D0D5DD"/>
              <w:insideV w:val="single" w:sz="4" w:color="D0D5DD"/>
            </w:tcBorders>
            <w:vAlign w:val="center"/>
          </w:tcPr>
          <w:p>
            <w:pPr>
              <w:spacing w:after="0" w:before="0"/>
            </w:pPr>
            <w:r>
              <w:rPr>
                <w:rFonts w:ascii="Aptos" w:hAnsi="Aptos"/>
                <w:sz w:val="17"/>
              </w:rPr>
              <w:t>90 days</w:t>
            </w:r>
          </w:p>
        </w:tc>
        <w:tc>
          <w:tcPr>
            <w:tcW w:type="dxa" w:w="5544"/>
            <w:shd w:fill="EAF2F8"/>
            <w:tcBorders>
              <w:top w:val="single" w:sz="4" w:color="D0D5DD"/>
              <w:left w:val="single" w:sz="4" w:color="D0D5DD"/>
              <w:bottom w:val="single" w:sz="4" w:color="D0D5DD"/>
              <w:right w:val="single" w:sz="4" w:color="D0D5DD"/>
              <w:insideH w:val="single" w:sz="4" w:color="D0D5DD"/>
              <w:insideV w:val="single" w:sz="4" w:color="D0D5DD"/>
            </w:tcBorders>
            <w:vAlign w:val="center"/>
          </w:tcPr>
          <w:p>
            <w:pPr>
              <w:spacing w:after="0" w:before="0"/>
            </w:pPr>
            <w:r>
              <w:rPr>
                <w:rFonts w:ascii="Aptos" w:hAnsi="Aptos"/>
                <w:sz w:val="17"/>
              </w:rPr>
              <w:t>About 167 readings per machine per day</w:t>
            </w:r>
          </w:p>
        </w:tc>
      </w:tr>
      <w:tr>
        <w:tc>
          <w:tcPr>
            <w:tcW w:type="dxa" w:w="2232"/>
            <w:shd w:fill="FFFFFF"/>
            <w:tcBorders>
              <w:top w:val="single" w:sz="4" w:color="D0D5DD"/>
              <w:left w:val="single" w:sz="4" w:color="D0D5DD"/>
              <w:bottom w:val="single" w:sz="4" w:color="D0D5DD"/>
              <w:right w:val="single" w:sz="4" w:color="D0D5DD"/>
              <w:insideH w:val="single" w:sz="4" w:color="D0D5DD"/>
              <w:insideV w:val="single" w:sz="4" w:color="D0D5DD"/>
            </w:tcBorders>
            <w:vAlign w:val="center"/>
          </w:tcPr>
          <w:p>
            <w:pPr>
              <w:spacing w:after="0" w:before="0"/>
            </w:pPr>
            <w:r>
              <w:rPr>
                <w:rFonts w:ascii="Aptos" w:hAnsi="Aptos"/>
                <w:sz w:val="17"/>
              </w:rPr>
              <w:t>Daily features</w:t>
            </w:r>
          </w:p>
        </w:tc>
        <w:tc>
          <w:tcPr>
            <w:tcW w:type="dxa" w:w="2232"/>
            <w:shd w:fill="FFFFFF"/>
            <w:tcBorders>
              <w:top w:val="single" w:sz="4" w:color="D0D5DD"/>
              <w:left w:val="single" w:sz="4" w:color="D0D5DD"/>
              <w:bottom w:val="single" w:sz="4" w:color="D0D5DD"/>
              <w:right w:val="single" w:sz="4" w:color="D0D5DD"/>
              <w:insideH w:val="single" w:sz="4" w:color="D0D5DD"/>
              <w:insideV w:val="single" w:sz="4" w:color="D0D5DD"/>
            </w:tcBorders>
            <w:vAlign w:val="center"/>
          </w:tcPr>
          <w:p>
            <w:pPr>
              <w:spacing w:after="0" w:before="0"/>
            </w:pPr>
            <w:r>
              <w:rPr>
                <w:rFonts w:ascii="Aptos" w:hAnsi="Aptos"/>
                <w:sz w:val="17"/>
              </w:rPr>
              <w:t>About 9 million snapshots</w:t>
            </w:r>
          </w:p>
        </w:tc>
        <w:tc>
          <w:tcPr>
            <w:tcW w:type="dxa" w:w="5544"/>
            <w:shd w:fill="FFFFFF"/>
            <w:tcBorders>
              <w:top w:val="single" w:sz="4" w:color="D0D5DD"/>
              <w:left w:val="single" w:sz="4" w:color="D0D5DD"/>
              <w:bottom w:val="single" w:sz="4" w:color="D0D5DD"/>
              <w:right w:val="single" w:sz="4" w:color="D0D5DD"/>
              <w:insideH w:val="single" w:sz="4" w:color="D0D5DD"/>
              <w:insideV w:val="single" w:sz="4" w:color="D0D5DD"/>
            </w:tcBorders>
            <w:vAlign w:val="center"/>
          </w:tcPr>
          <w:p>
            <w:pPr>
              <w:spacing w:after="0" w:before="0"/>
            </w:pPr>
            <w:r>
              <w:rPr>
                <w:rFonts w:ascii="Aptos" w:hAnsi="Aptos"/>
                <w:sz w:val="17"/>
              </w:rPr>
              <w:t>Large candidate set before local sampling</w:t>
            </w:r>
          </w:p>
        </w:tc>
      </w:tr>
      <w:tr>
        <w:tc>
          <w:tcPr>
            <w:tcW w:type="dxa" w:w="2232"/>
            <w:shd w:fill="EAF2F8"/>
            <w:tcBorders>
              <w:top w:val="single" w:sz="4" w:color="D0D5DD"/>
              <w:left w:val="single" w:sz="4" w:color="D0D5DD"/>
              <w:bottom w:val="single" w:sz="4" w:color="D0D5DD"/>
              <w:right w:val="single" w:sz="4" w:color="D0D5DD"/>
              <w:insideH w:val="single" w:sz="4" w:color="D0D5DD"/>
              <w:insideV w:val="single" w:sz="4" w:color="D0D5DD"/>
            </w:tcBorders>
            <w:vAlign w:val="center"/>
          </w:tcPr>
          <w:p>
            <w:pPr>
              <w:spacing w:after="0" w:before="0"/>
            </w:pPr>
            <w:r>
              <w:rPr>
                <w:rFonts w:ascii="Aptos" w:hAnsi="Aptos"/>
                <w:sz w:val="17"/>
              </w:rPr>
              <w:t>Local XGBoost cap</w:t>
            </w:r>
          </w:p>
        </w:tc>
        <w:tc>
          <w:tcPr>
            <w:tcW w:type="dxa" w:w="2232"/>
            <w:shd w:fill="EAF2F8"/>
            <w:tcBorders>
              <w:top w:val="single" w:sz="4" w:color="D0D5DD"/>
              <w:left w:val="single" w:sz="4" w:color="D0D5DD"/>
              <w:bottom w:val="single" w:sz="4" w:color="D0D5DD"/>
              <w:right w:val="single" w:sz="4" w:color="D0D5DD"/>
              <w:insideH w:val="single" w:sz="4" w:color="D0D5DD"/>
              <w:insideV w:val="single" w:sz="4" w:color="D0D5DD"/>
            </w:tcBorders>
            <w:vAlign w:val="center"/>
          </w:tcPr>
          <w:p>
            <w:pPr>
              <w:spacing w:after="0" w:before="0"/>
            </w:pPr>
            <w:r>
              <w:rPr>
                <w:rFonts w:ascii="Aptos" w:hAnsi="Aptos"/>
                <w:sz w:val="17"/>
              </w:rPr>
              <w:t>1 million snapshots</w:t>
            </w:r>
          </w:p>
        </w:tc>
        <w:tc>
          <w:tcPr>
            <w:tcW w:type="dxa" w:w="5544"/>
            <w:shd w:fill="EAF2F8"/>
            <w:tcBorders>
              <w:top w:val="single" w:sz="4" w:color="D0D5DD"/>
              <w:left w:val="single" w:sz="4" w:color="D0D5DD"/>
              <w:bottom w:val="single" w:sz="4" w:color="D0D5DD"/>
              <w:right w:val="single" w:sz="4" w:color="D0D5DD"/>
              <w:insideH w:val="single" w:sz="4" w:color="D0D5DD"/>
              <w:insideV w:val="single" w:sz="4" w:color="D0D5DD"/>
            </w:tcBorders>
            <w:vAlign w:val="center"/>
          </w:tcPr>
          <w:p>
            <w:pPr>
              <w:spacing w:after="0" w:before="0"/>
            </w:pPr>
            <w:r>
              <w:rPr>
                <w:rFonts w:ascii="Aptos" w:hAnsi="Aptos"/>
                <w:sz w:val="17"/>
              </w:rPr>
              <w:t>Current notebook does not fit on all raw rows</w:t>
            </w:r>
          </w:p>
        </w:tc>
      </w:tr>
      <w:tr>
        <w:tc>
          <w:tcPr>
            <w:tcW w:type="dxa" w:w="2232"/>
            <w:shd w:fill="FFFFFF"/>
            <w:tcBorders>
              <w:top w:val="single" w:sz="4" w:color="D0D5DD"/>
              <w:left w:val="single" w:sz="4" w:color="D0D5DD"/>
              <w:bottom w:val="single" w:sz="4" w:color="D0D5DD"/>
              <w:right w:val="single" w:sz="4" w:color="D0D5DD"/>
              <w:insideH w:val="single" w:sz="4" w:color="D0D5DD"/>
              <w:insideV w:val="single" w:sz="4" w:color="D0D5DD"/>
            </w:tcBorders>
            <w:vAlign w:val="center"/>
          </w:tcPr>
          <w:p>
            <w:pPr>
              <w:spacing w:after="0" w:before="0"/>
            </w:pPr>
            <w:r>
              <w:rPr>
                <w:rFonts w:ascii="Aptos" w:hAnsi="Aptos"/>
                <w:sz w:val="17"/>
              </w:rPr>
              <w:t>Forecast horizon</w:t>
            </w:r>
          </w:p>
        </w:tc>
        <w:tc>
          <w:tcPr>
            <w:tcW w:type="dxa" w:w="2232"/>
            <w:shd w:fill="FFFFFF"/>
            <w:tcBorders>
              <w:top w:val="single" w:sz="4" w:color="D0D5DD"/>
              <w:left w:val="single" w:sz="4" w:color="D0D5DD"/>
              <w:bottom w:val="single" w:sz="4" w:color="D0D5DD"/>
              <w:right w:val="single" w:sz="4" w:color="D0D5DD"/>
              <w:insideH w:val="single" w:sz="4" w:color="D0D5DD"/>
              <w:insideV w:val="single" w:sz="4" w:color="D0D5DD"/>
            </w:tcBorders>
            <w:vAlign w:val="center"/>
          </w:tcPr>
          <w:p>
            <w:pPr>
              <w:spacing w:after="0" w:before="0"/>
            </w:pPr>
            <w:r>
              <w:rPr>
                <w:rFonts w:ascii="Aptos" w:hAnsi="Aptos"/>
                <w:sz w:val="17"/>
              </w:rPr>
              <w:t>168 hours</w:t>
            </w:r>
          </w:p>
        </w:tc>
        <w:tc>
          <w:tcPr>
            <w:tcW w:type="dxa" w:w="5544"/>
            <w:shd w:fill="FFFFFF"/>
            <w:tcBorders>
              <w:top w:val="single" w:sz="4" w:color="D0D5DD"/>
              <w:left w:val="single" w:sz="4" w:color="D0D5DD"/>
              <w:bottom w:val="single" w:sz="4" w:color="D0D5DD"/>
              <w:right w:val="single" w:sz="4" w:color="D0D5DD"/>
              <w:insideH w:val="single" w:sz="4" w:color="D0D5DD"/>
              <w:insideV w:val="single" w:sz="4" w:color="D0D5DD"/>
            </w:tcBorders>
            <w:vAlign w:val="center"/>
          </w:tcPr>
          <w:p>
            <w:pPr>
              <w:spacing w:after="0" w:before="0"/>
            </w:pPr>
            <w:r>
              <w:rPr>
                <w:rFonts w:ascii="Aptos" w:hAnsi="Aptos"/>
                <w:sz w:val="17"/>
              </w:rPr>
              <w:t>Labels failures within the following seven days</w:t>
            </w:r>
          </w:p>
        </w:tc>
      </w:tr>
    </w:tbl>
    <w:p>
      <w:pPr>
        <w:spacing w:after="0"/>
      </w:pPr>
    </w:p>
    <w:p>
      <w:pPr>
        <w:spacing w:after="140" w:line="259" w:lineRule="auto"/>
      </w:pPr>
      <w:r>
        <w:rPr>
          <w:rFonts w:ascii="Aptos" w:hAnsi="Aptos"/>
        </w:rPr>
        <w:t>The model never trains directly on 1.5 billion telemetry records. Spark first compresses those records into historical feature windows, labels eligible windows, and samples at most 1,000,000 feature rows for local XGBoost training. The architecture therefore separates distributed feature engineering from single-node model fitting.</w:t>
      </w:r>
    </w:p>
    <w:p>
      <w:pPr>
        <w:pStyle w:val="Heading1"/>
      </w:pPr>
      <w:r>
        <w:t>What the row count does and does not establish</w:t>
      </w:r>
    </w:p>
    <w:p>
      <w:pPr>
        <w:spacing w:after="140" w:line="259" w:lineRule="auto"/>
      </w:pPr>
      <w:r>
        <w:rPr>
          <w:rFonts w:ascii="Aptos" w:hAnsi="Aptos"/>
        </w:rPr>
        <w:t>The raw row count establishes that the pipeline has enough observations to calculate stable aggregates such as temperature means, vibration peaks, CPU spikes, latency percentiles, and recent failure counts. It does not establish that the model has enough independent examples of equipment degradation. Thousands of correlated readings from one incident still represent one failure episode.</w:t>
      </w:r>
    </w:p>
    <w:p>
      <w:pPr>
        <w:pStyle w:val="ListBullet"/>
        <w:spacing w:after="80"/>
        <w:ind w:left="360" w:hanging="230"/>
      </w:pPr>
      <w:r>
        <w:rPr>
          <w:rFonts w:ascii="Aptos" w:hAnsi="Aptos"/>
        </w:rPr>
        <w:t>Failure-event count matters more than telemetry-event count once feature aggregates are stable.</w:t>
      </w:r>
    </w:p>
    <w:p>
      <w:pPr>
        <w:pStyle w:val="ListBullet"/>
        <w:spacing w:after="80"/>
        <w:ind w:left="360" w:hanging="230"/>
      </w:pPr>
      <w:r>
        <w:rPr>
          <w:rFonts w:ascii="Aptos" w:hAnsi="Aptos"/>
        </w:rPr>
        <w:t>Coverage should span equipment types, models, sites, operating regimes, seasons, and failure modes.</w:t>
      </w:r>
    </w:p>
    <w:p>
      <w:pPr>
        <w:pStyle w:val="ListBullet"/>
        <w:spacing w:after="80"/>
        <w:ind w:left="360" w:hanging="230"/>
      </w:pPr>
      <w:r>
        <w:rPr>
          <w:rFonts w:ascii="Aptos" w:hAnsi="Aptos"/>
        </w:rPr>
        <w:t>Positive examples must have closed forecast horizons so that each label is based only on outcomes that are already observable.</w:t>
      </w:r>
    </w:p>
    <w:p>
      <w:pPr>
        <w:pStyle w:val="ListBullet"/>
        <w:spacing w:after="80"/>
        <w:ind w:left="360" w:hanging="230"/>
      </w:pPr>
      <w:r>
        <w:rPr>
          <w:rFonts w:ascii="Aptos" w:hAnsi="Aptos"/>
        </w:rPr>
        <w:t>Training, validation, and test data must remain separated in time. Holding out complete assets or sites gives an additional test of generalization.</w:t>
      </w:r>
    </w:p>
    <w:p>
      <w:pPr>
        <w:pStyle w:val="Heading2"/>
      </w:pPr>
      <w:r>
        <w:t>Positive class scale</w:t>
      </w:r>
    </w:p>
    <w:p>
      <w:pPr>
        <w:spacing w:after="140" w:line="259" w:lineRule="auto"/>
      </w:pPr>
      <w:r>
        <w:rPr>
          <w:rFonts w:ascii="Aptos" w:hAnsi="Aptos"/>
        </w:rPr>
        <w:t>If a run contains 10,000 generated failures and each failure creates no more than seven positive daily snapshots for a 168-hour horizon, the upper-bound estimate is about 70,000 positive snapshots. Compared with roughly 9 million daily snapshots, that is about 0.8 percent. The actual rate can be lower because overlapping failures, incomplete horizons, and eligibility filters remove or merge examples.</w:t>
      </w:r>
    </w:p>
    <w:p>
      <w:pPr>
        <w:spacing w:after="140" w:line="259" w:lineRule="auto"/>
      </w:pPr>
      <w:r>
        <w:rPr>
          <w:rFonts w:ascii="Aptos" w:hAnsi="Aptos"/>
        </w:rPr>
        <w:t>That level of class imbalance is workable for XGBoost, but accuracy is a poor evaluation measure. A classifier that predicts no failures could still report about 99.2 percent accuracy in this illustration. Precision, recall, precision-recall area under the curve, calibration, and operational alert volume are more informative.</w:t>
      </w:r>
    </w:p>
    <w:p>
      <w:pPr>
        <w:pStyle w:val="Heading1"/>
      </w:pPr>
      <w:r>
        <w:t>Signal realism</w:t>
      </w:r>
    </w:p>
    <w:p>
      <w:pPr>
        <w:spacing w:after="140" w:line="259" w:lineRule="auto"/>
      </w:pPr>
      <w:r>
        <w:rPr>
          <w:rFonts w:ascii="Aptos" w:hAnsi="Aptos"/>
        </w:rPr>
        <w:t>The synthetic generator now raises temperature, CPU load, latency, and abnormal operating-cycle behavior during the 72 hours before a generated failure. This gives the model a learnable precursor pattern and is appropriate for pipeline and load testing. It also creates a risk: if every failure has a clean ramp and healthy periods rarely show similar readings, XGBoost may achieve excellent synthetic results by learning the generator's rules rather than a field-maintenance pattern.</w:t>
      </w:r>
    </w:p>
    <w:p>
      <w:pPr>
        <w:spacing w:after="140" w:line="259" w:lineRule="auto"/>
      </w:pPr>
      <w:r>
        <w:rPr>
          <w:rFonts w:ascii="Aptos" w:hAnsi="Aptos"/>
        </w:rPr>
        <w:t>The synthetic data should include these harder cases:</w:t>
      </w:r>
    </w:p>
    <w:p>
      <w:pPr>
        <w:pStyle w:val="ListBullet"/>
        <w:spacing w:after="80"/>
        <w:ind w:left="360" w:hanging="230"/>
      </w:pPr>
      <w:r>
        <w:rPr>
          <w:rFonts w:ascii="Aptos" w:hAnsi="Aptos"/>
        </w:rPr>
        <w:t>Different precursor shapes by failure mode, including gradual drift, intermittent spikes, threshold changes, and failures without a visible telemetry warning.</w:t>
      </w:r>
    </w:p>
    <w:p>
      <w:pPr>
        <w:pStyle w:val="ListBullet"/>
        <w:spacing w:after="80"/>
        <w:ind w:left="360" w:hanging="230"/>
      </w:pPr>
      <w:r>
        <w:rPr>
          <w:rFonts w:ascii="Aptos" w:hAnsi="Aptos"/>
        </w:rPr>
        <w:t>Hard negatives in which healthy machines experience high temperature, heavy CPU use, vibration, or latency without failing.</w:t>
      </w:r>
    </w:p>
    <w:p>
      <w:pPr>
        <w:pStyle w:val="ListBullet"/>
        <w:spacing w:after="80"/>
        <w:ind w:left="360" w:hanging="230"/>
      </w:pPr>
      <w:r>
        <w:rPr>
          <w:rFonts w:ascii="Aptos" w:hAnsi="Aptos"/>
        </w:rPr>
        <w:t>Sensor gaps, stale values, recalibration, replacement sensors, and site-specific baselines.</w:t>
      </w:r>
    </w:p>
    <w:p>
      <w:pPr>
        <w:pStyle w:val="ListBullet"/>
        <w:spacing w:after="80"/>
        <w:ind w:left="360" w:hanging="230"/>
      </w:pPr>
      <w:r>
        <w:rPr>
          <w:rFonts w:ascii="Aptos" w:hAnsi="Aptos"/>
        </w:rPr>
        <w:t>Maintenance interventions that reduce risk and therefore interrupt an apparent degradation sequence.</w:t>
      </w:r>
    </w:p>
    <w:p>
      <w:pPr>
        <w:pStyle w:val="ListBullet"/>
        <w:spacing w:after="80"/>
        <w:ind w:left="360" w:hanging="230"/>
      </w:pPr>
      <w:r>
        <w:rPr>
          <w:rFonts w:ascii="Aptos" w:hAnsi="Aptos"/>
        </w:rPr>
        <w:t>Recurring failures and censored assets whose next failure occurs beyond the available observation period.</w:t>
      </w:r>
    </w:p>
    <w:p>
      <w:pPr>
        <w:pStyle w:val="Heading1"/>
      </w:pPr>
      <w:r>
        <w:t>Validation checks</w:t>
      </w:r>
    </w:p>
    <w:p>
      <w:pPr>
        <w:spacing w:after="140" w:line="259" w:lineRule="auto"/>
      </w:pPr>
      <w:r>
        <w:rPr>
          <w:rFonts w:ascii="Aptos" w:hAnsi="Aptos"/>
        </w:rPr>
        <w:t>Run these checks after feature generation and before fitting the model. They confirm that every chronological split contains both classes, failures cover a meaningful portion of the fleet, and the data is not concentrated in one equipment type.</w:t>
      </w:r>
    </w:p>
    <w:p>
      <w:pPr>
        <w:pStyle w:val="Heading2"/>
      </w:pPr>
      <w:r>
        <w:t>Label balance by split</w:t>
      </w:r>
    </w:p>
    <w:p>
      <w:pPr>
        <w:spacing w:before="60" w:after="180" w:line="240" w:lineRule="auto"/>
        <w:ind w:left="259" w:right="259"/>
        <w:shd w:fill="F3F4F6"/>
      </w:pPr>
      <w:r>
        <w:rPr>
          <w:rFonts w:ascii="Aptos Mono" w:hAnsi="Aptos Mono"/>
          <w:color w:val="1F2937"/>
          <w:sz w:val="16"/>
        </w:rPr>
        <w:t>SELECT</w:t>
      </w:r>
      <w:r>
        <w:br/>
      </w:r>
      <w:r>
        <w:rPr>
          <w:rFonts w:ascii="Aptos Mono" w:hAnsi="Aptos Mono"/>
          <w:color w:val="1F2937"/>
          <w:sz w:val="16"/>
        </w:rPr>
        <w:t xml:space="preserve">  dataset_split,</w:t>
      </w:r>
      <w:r>
        <w:br/>
      </w:r>
      <w:r>
        <w:rPr>
          <w:rFonts w:ascii="Aptos Mono" w:hAnsi="Aptos Mono"/>
          <w:color w:val="1F2937"/>
          <w:sz w:val="16"/>
        </w:rPr>
        <w:t xml:space="preserve">  label_failure_within_horizon,</w:t>
      </w:r>
      <w:r>
        <w:br/>
      </w:r>
      <w:r>
        <w:rPr>
          <w:rFonts w:ascii="Aptos Mono" w:hAnsi="Aptos Mono"/>
          <w:color w:val="1F2937"/>
          <w:sz w:val="16"/>
        </w:rPr>
        <w:t xml:space="preserve">  COUNT(*) AS snapshots,</w:t>
      </w:r>
      <w:r>
        <w:br/>
      </w:r>
      <w:r>
        <w:rPr>
          <w:rFonts w:ascii="Aptos Mono" w:hAnsi="Aptos Mono"/>
          <w:color w:val="1F2937"/>
          <w:sz w:val="16"/>
        </w:rPr>
        <w:t xml:space="preserve">  COUNT(DISTINCT asset_id) AS assets</w:t>
      </w:r>
      <w:r>
        <w:br/>
      </w:r>
      <w:r>
        <w:rPr>
          <w:rFonts w:ascii="Aptos Mono" w:hAnsi="Aptos Mono"/>
          <w:color w:val="1F2937"/>
          <w:sz w:val="16"/>
        </w:rPr>
        <w:t>FROM exalabs.iot.asset_feature_snapshots</w:t>
      </w:r>
      <w:r>
        <w:br/>
      </w:r>
      <w:r>
        <w:rPr>
          <w:rFonts w:ascii="Aptos Mono" w:hAnsi="Aptos Mono"/>
          <w:color w:val="1F2937"/>
          <w:sz w:val="16"/>
        </w:rPr>
        <w:t>WHERE label_failure_within_horizon IS NOT NULL</w:t>
      </w:r>
      <w:r>
        <w:br/>
      </w:r>
      <w:r>
        <w:rPr>
          <w:rFonts w:ascii="Aptos Mono" w:hAnsi="Aptos Mono"/>
          <w:color w:val="1F2937"/>
          <w:sz w:val="16"/>
        </w:rPr>
        <w:t>GROUP BY dataset_split, label_failure_within_horizon</w:t>
      </w:r>
      <w:r>
        <w:br/>
      </w:r>
      <w:r>
        <w:rPr>
          <w:rFonts w:ascii="Aptos Mono" w:hAnsi="Aptos Mono"/>
          <w:color w:val="1F2937"/>
          <w:sz w:val="16"/>
        </w:rPr>
        <w:t>ORDER BY dataset_split, label_failure_within_horizon;</w:t>
      </w:r>
    </w:p>
    <w:p>
      <w:pPr>
        <w:pStyle w:val="Heading2"/>
      </w:pPr>
      <w:r>
        <w:t>Failure coverage</w:t>
      </w:r>
    </w:p>
    <w:p>
      <w:pPr>
        <w:spacing w:before="60" w:after="180" w:line="240" w:lineRule="auto"/>
        <w:ind w:left="259" w:right="259"/>
        <w:shd w:fill="F3F4F6"/>
      </w:pPr>
      <w:r>
        <w:rPr>
          <w:rFonts w:ascii="Aptos Mono" w:hAnsi="Aptos Mono"/>
          <w:color w:val="1F2937"/>
          <w:sz w:val="16"/>
        </w:rPr>
        <w:t>SELECT</w:t>
      </w:r>
      <w:r>
        <w:br/>
      </w:r>
      <w:r>
        <w:rPr>
          <w:rFonts w:ascii="Aptos Mono" w:hAnsi="Aptos Mono"/>
          <w:color w:val="1F2937"/>
          <w:sz w:val="16"/>
        </w:rPr>
        <w:t xml:space="preserve">  COUNT(*) AS failures,</w:t>
      </w:r>
      <w:r>
        <w:br/>
      </w:r>
      <w:r>
        <w:rPr>
          <w:rFonts w:ascii="Aptos Mono" w:hAnsi="Aptos Mono"/>
          <w:color w:val="1F2937"/>
          <w:sz w:val="16"/>
        </w:rPr>
        <w:t xml:space="preserve">  COUNT(DISTINCT machine_id) AS failed_machines,</w:t>
      </w:r>
      <w:r>
        <w:br/>
      </w:r>
      <w:r>
        <w:rPr>
          <w:rFonts w:ascii="Aptos Mono" w:hAnsi="Aptos Mono"/>
          <w:color w:val="1F2937"/>
          <w:sz w:val="16"/>
        </w:rPr>
        <w:t xml:space="preserve">  MIN(failure_time) AS first_failure,</w:t>
      </w:r>
      <w:r>
        <w:br/>
      </w:r>
      <w:r>
        <w:rPr>
          <w:rFonts w:ascii="Aptos Mono" w:hAnsi="Aptos Mono"/>
          <w:color w:val="1F2937"/>
          <w:sz w:val="16"/>
        </w:rPr>
        <w:t xml:space="preserve">  MAX(failure_time) AS last_failure</w:t>
      </w:r>
      <w:r>
        <w:br/>
      </w:r>
      <w:r>
        <w:rPr>
          <w:rFonts w:ascii="Aptos Mono" w:hAnsi="Aptos Mono"/>
          <w:color w:val="1F2937"/>
          <w:sz w:val="16"/>
        </w:rPr>
        <w:t>FROM exalabs.iot.machine_failures;</w:t>
      </w:r>
    </w:p>
    <w:p>
      <w:pPr>
        <w:pStyle w:val="Heading2"/>
      </w:pPr>
      <w:r>
        <w:t>Failure distribution by equipment type</w:t>
      </w:r>
    </w:p>
    <w:p>
      <w:pPr>
        <w:spacing w:before="60" w:after="180" w:line="240" w:lineRule="auto"/>
        <w:ind w:left="259" w:right="259"/>
        <w:shd w:fill="F3F4F6"/>
      </w:pPr>
      <w:r>
        <w:rPr>
          <w:rFonts w:ascii="Aptos Mono" w:hAnsi="Aptos Mono"/>
          <w:color w:val="1F2937"/>
          <w:sz w:val="16"/>
        </w:rPr>
        <w:t>SELECT</w:t>
      </w:r>
      <w:r>
        <w:br/>
      </w:r>
      <w:r>
        <w:rPr>
          <w:rFonts w:ascii="Aptos Mono" w:hAnsi="Aptos Mono"/>
          <w:color w:val="1F2937"/>
          <w:sz w:val="16"/>
        </w:rPr>
        <w:t xml:space="preserve">  at.asset_type_name,</w:t>
      </w:r>
      <w:r>
        <w:br/>
      </w:r>
      <w:r>
        <w:rPr>
          <w:rFonts w:ascii="Aptos Mono" w:hAnsi="Aptos Mono"/>
          <w:color w:val="1F2937"/>
          <w:sz w:val="16"/>
        </w:rPr>
        <w:t xml:space="preserve">  COUNT(*) AS failures,</w:t>
      </w:r>
      <w:r>
        <w:br/>
      </w:r>
      <w:r>
        <w:rPr>
          <w:rFonts w:ascii="Aptos Mono" w:hAnsi="Aptos Mono"/>
          <w:color w:val="1F2937"/>
          <w:sz w:val="16"/>
        </w:rPr>
        <w:t xml:space="preserve">  COUNT(DISTINCT f.machine_id) AS failed_assets</w:t>
      </w:r>
      <w:r>
        <w:br/>
      </w:r>
      <w:r>
        <w:rPr>
          <w:rFonts w:ascii="Aptos Mono" w:hAnsi="Aptos Mono"/>
          <w:color w:val="1F2937"/>
          <w:sz w:val="16"/>
        </w:rPr>
        <w:t>FROM exalabs.iot.machine_failures AS f</w:t>
      </w:r>
      <w:r>
        <w:br/>
      </w:r>
      <w:r>
        <w:rPr>
          <w:rFonts w:ascii="Aptos Mono" w:hAnsi="Aptos Mono"/>
          <w:color w:val="1F2937"/>
          <w:sz w:val="16"/>
        </w:rPr>
        <w:t>JOIN exalabs.iot.assets AS a</w:t>
      </w:r>
      <w:r>
        <w:br/>
      </w:r>
      <w:r>
        <w:rPr>
          <w:rFonts w:ascii="Aptos Mono" w:hAnsi="Aptos Mono"/>
          <w:color w:val="1F2937"/>
          <w:sz w:val="16"/>
        </w:rPr>
        <w:t xml:space="preserve">  ON f.machine_id = a.asset_id</w:t>
      </w:r>
      <w:r>
        <w:br/>
      </w:r>
      <w:r>
        <w:rPr>
          <w:rFonts w:ascii="Aptos Mono" w:hAnsi="Aptos Mono"/>
          <w:color w:val="1F2937"/>
          <w:sz w:val="16"/>
        </w:rPr>
        <w:t>JOIN exalabs.iot.asset_types AS at</w:t>
      </w:r>
      <w:r>
        <w:br/>
      </w:r>
      <w:r>
        <w:rPr>
          <w:rFonts w:ascii="Aptos Mono" w:hAnsi="Aptos Mono"/>
          <w:color w:val="1F2937"/>
          <w:sz w:val="16"/>
        </w:rPr>
        <w:t xml:space="preserve">  ON a.asset_type_id = at.asset_type_id</w:t>
      </w:r>
      <w:r>
        <w:br/>
      </w:r>
      <w:r>
        <w:rPr>
          <w:rFonts w:ascii="Aptos Mono" w:hAnsi="Aptos Mono"/>
          <w:color w:val="1F2937"/>
          <w:sz w:val="16"/>
        </w:rPr>
        <w:t>GROUP BY at.asset_type_name</w:t>
      </w:r>
      <w:r>
        <w:br/>
      </w:r>
      <w:r>
        <w:rPr>
          <w:rFonts w:ascii="Aptos Mono" w:hAnsi="Aptos Mono"/>
          <w:color w:val="1F2937"/>
          <w:sz w:val="16"/>
        </w:rPr>
        <w:t>ORDER BY failures DESC;</w:t>
      </w:r>
    </w:p>
    <w:p>
      <w:pPr>
        <w:pStyle w:val="Heading1"/>
      </w:pPr>
      <w:r>
        <w:t>Evaluation criteria</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shd w:fill="17365D"/>
            <w:tcBorders>
              <w:top w:val="single" w:sz="4" w:color="D0D5DD"/>
              <w:left w:val="single" w:sz="4" w:color="D0D5DD"/>
              <w:bottom w:val="single" w:sz="4" w:color="D0D5DD"/>
              <w:right w:val="single" w:sz="4" w:color="D0D5DD"/>
              <w:insideH w:val="single" w:sz="4" w:color="D0D5DD"/>
              <w:insideV w:val="single" w:sz="4" w:color="D0D5DD"/>
            </w:tcBorders>
            <w:vAlign w:val="center"/>
          </w:tcPr>
          <w:p>
            <w:pPr>
              <w:spacing w:after="0"/>
            </w:pPr>
            <w:r>
              <w:rPr>
                <w:rFonts w:ascii="Aptos" w:hAnsi="Aptos"/>
                <w:b/>
                <w:color w:val="FFFFFF"/>
                <w:sz w:val="18"/>
              </w:rPr>
              <w:t>Metric</w:t>
            </w:r>
          </w:p>
        </w:tc>
        <w:tc>
          <w:tcPr>
            <w:tcW w:type="dxa" w:w="3888"/>
            <w:shd w:fill="17365D"/>
            <w:tcBorders>
              <w:top w:val="single" w:sz="4" w:color="D0D5DD"/>
              <w:left w:val="single" w:sz="4" w:color="D0D5DD"/>
              <w:bottom w:val="single" w:sz="4" w:color="D0D5DD"/>
              <w:right w:val="single" w:sz="4" w:color="D0D5DD"/>
              <w:insideH w:val="single" w:sz="4" w:color="D0D5DD"/>
              <w:insideV w:val="single" w:sz="4" w:color="D0D5DD"/>
            </w:tcBorders>
            <w:vAlign w:val="center"/>
          </w:tcPr>
          <w:p>
            <w:pPr>
              <w:spacing w:after="0"/>
            </w:pPr>
            <w:r>
              <w:rPr>
                <w:rFonts w:ascii="Aptos" w:hAnsi="Aptos"/>
                <w:b/>
                <w:color w:val="FFFFFF"/>
                <w:sz w:val="18"/>
              </w:rPr>
              <w:t>Question answered</w:t>
            </w:r>
          </w:p>
        </w:tc>
        <w:tc>
          <w:tcPr>
            <w:tcW w:type="dxa" w:w="3888"/>
            <w:shd w:fill="17365D"/>
            <w:tcBorders>
              <w:top w:val="single" w:sz="4" w:color="D0D5DD"/>
              <w:left w:val="single" w:sz="4" w:color="D0D5DD"/>
              <w:bottom w:val="single" w:sz="4" w:color="D0D5DD"/>
              <w:right w:val="single" w:sz="4" w:color="D0D5DD"/>
              <w:insideH w:val="single" w:sz="4" w:color="D0D5DD"/>
              <w:insideV w:val="single" w:sz="4" w:color="D0D5DD"/>
            </w:tcBorders>
            <w:vAlign w:val="center"/>
          </w:tcPr>
          <w:p>
            <w:pPr>
              <w:spacing w:after="0"/>
            </w:pPr>
            <w:r>
              <w:rPr>
                <w:rFonts w:ascii="Aptos" w:hAnsi="Aptos"/>
                <w:b/>
                <w:color w:val="FFFFFF"/>
                <w:sz w:val="18"/>
              </w:rPr>
              <w:t>How to interpret it</w:t>
            </w:r>
          </w:p>
        </w:tc>
      </w:tr>
      <w:tr>
        <w:tc>
          <w:tcPr>
            <w:tcW w:type="dxa" w:w="2232"/>
            <w:shd w:fill="EAF2F8"/>
            <w:tcBorders>
              <w:top w:val="single" w:sz="4" w:color="D0D5DD"/>
              <w:left w:val="single" w:sz="4" w:color="D0D5DD"/>
              <w:bottom w:val="single" w:sz="4" w:color="D0D5DD"/>
              <w:right w:val="single" w:sz="4" w:color="D0D5DD"/>
              <w:insideH w:val="single" w:sz="4" w:color="D0D5DD"/>
              <w:insideV w:val="single" w:sz="4" w:color="D0D5DD"/>
            </w:tcBorders>
            <w:vAlign w:val="center"/>
          </w:tcPr>
          <w:p>
            <w:pPr>
              <w:spacing w:after="0" w:before="0"/>
            </w:pPr>
            <w:r>
              <w:rPr>
                <w:rFonts w:ascii="Aptos" w:hAnsi="Aptos"/>
                <w:sz w:val="17"/>
              </w:rPr>
              <w:t>Precision recall AUC</w:t>
            </w:r>
          </w:p>
        </w:tc>
        <w:tc>
          <w:tcPr>
            <w:tcW w:type="dxa" w:w="3888"/>
            <w:shd w:fill="EAF2F8"/>
            <w:tcBorders>
              <w:top w:val="single" w:sz="4" w:color="D0D5DD"/>
              <w:left w:val="single" w:sz="4" w:color="D0D5DD"/>
              <w:bottom w:val="single" w:sz="4" w:color="D0D5DD"/>
              <w:right w:val="single" w:sz="4" w:color="D0D5DD"/>
              <w:insideH w:val="single" w:sz="4" w:color="D0D5DD"/>
              <w:insideV w:val="single" w:sz="4" w:color="D0D5DD"/>
            </w:tcBorders>
            <w:vAlign w:val="center"/>
          </w:tcPr>
          <w:p>
            <w:pPr>
              <w:spacing w:after="0" w:before="0"/>
            </w:pPr>
            <w:r>
              <w:rPr>
                <w:rFonts w:ascii="Aptos" w:hAnsi="Aptos"/>
                <w:sz w:val="17"/>
              </w:rPr>
              <w:t>Can the model rank rare failures above normal operation</w:t>
            </w:r>
          </w:p>
        </w:tc>
        <w:tc>
          <w:tcPr>
            <w:tcW w:type="dxa" w:w="3888"/>
            <w:shd w:fill="EAF2F8"/>
            <w:tcBorders>
              <w:top w:val="single" w:sz="4" w:color="D0D5DD"/>
              <w:left w:val="single" w:sz="4" w:color="D0D5DD"/>
              <w:bottom w:val="single" w:sz="4" w:color="D0D5DD"/>
              <w:right w:val="single" w:sz="4" w:color="D0D5DD"/>
              <w:insideH w:val="single" w:sz="4" w:color="D0D5DD"/>
              <w:insideV w:val="single" w:sz="4" w:color="D0D5DD"/>
            </w:tcBorders>
            <w:vAlign w:val="center"/>
          </w:tcPr>
          <w:p>
            <w:pPr>
              <w:spacing w:after="0" w:before="0"/>
            </w:pPr>
            <w:r>
              <w:rPr>
                <w:rFonts w:ascii="Aptos" w:hAnsi="Aptos"/>
                <w:sz w:val="17"/>
              </w:rPr>
              <w:t>Compare with the positive prevalence baseline</w:t>
            </w:r>
          </w:p>
        </w:tc>
      </w:tr>
      <w:tr>
        <w:tc>
          <w:tcPr>
            <w:tcW w:type="dxa" w:w="2232"/>
            <w:shd w:fill="FFFFFF"/>
            <w:tcBorders>
              <w:top w:val="single" w:sz="4" w:color="D0D5DD"/>
              <w:left w:val="single" w:sz="4" w:color="D0D5DD"/>
              <w:bottom w:val="single" w:sz="4" w:color="D0D5DD"/>
              <w:right w:val="single" w:sz="4" w:color="D0D5DD"/>
              <w:insideH w:val="single" w:sz="4" w:color="D0D5DD"/>
              <w:insideV w:val="single" w:sz="4" w:color="D0D5DD"/>
            </w:tcBorders>
            <w:vAlign w:val="center"/>
          </w:tcPr>
          <w:p>
            <w:pPr>
              <w:spacing w:after="0" w:before="0"/>
            </w:pPr>
            <w:r>
              <w:rPr>
                <w:rFonts w:ascii="Aptos" w:hAnsi="Aptos"/>
                <w:sz w:val="17"/>
              </w:rPr>
              <w:t>Recall at alert budget</w:t>
            </w:r>
          </w:p>
        </w:tc>
        <w:tc>
          <w:tcPr>
            <w:tcW w:type="dxa" w:w="3888"/>
            <w:shd w:fill="FFFFFF"/>
            <w:tcBorders>
              <w:top w:val="single" w:sz="4" w:color="D0D5DD"/>
              <w:left w:val="single" w:sz="4" w:color="D0D5DD"/>
              <w:bottom w:val="single" w:sz="4" w:color="D0D5DD"/>
              <w:right w:val="single" w:sz="4" w:color="D0D5DD"/>
              <w:insideH w:val="single" w:sz="4" w:color="D0D5DD"/>
              <w:insideV w:val="single" w:sz="4" w:color="D0D5DD"/>
            </w:tcBorders>
            <w:vAlign w:val="center"/>
          </w:tcPr>
          <w:p>
            <w:pPr>
              <w:spacing w:after="0" w:before="0"/>
            </w:pPr>
            <w:r>
              <w:rPr>
                <w:rFonts w:ascii="Aptos" w:hAnsi="Aptos"/>
                <w:sz w:val="17"/>
              </w:rPr>
              <w:t>How many failures are found at an affordable alert volume</w:t>
            </w:r>
          </w:p>
        </w:tc>
        <w:tc>
          <w:tcPr>
            <w:tcW w:type="dxa" w:w="3888"/>
            <w:shd w:fill="FFFFFF"/>
            <w:tcBorders>
              <w:top w:val="single" w:sz="4" w:color="D0D5DD"/>
              <w:left w:val="single" w:sz="4" w:color="D0D5DD"/>
              <w:bottom w:val="single" w:sz="4" w:color="D0D5DD"/>
              <w:right w:val="single" w:sz="4" w:color="D0D5DD"/>
              <w:insideH w:val="single" w:sz="4" w:color="D0D5DD"/>
              <w:insideV w:val="single" w:sz="4" w:color="D0D5DD"/>
            </w:tcBorders>
            <w:vAlign w:val="center"/>
          </w:tcPr>
          <w:p>
            <w:pPr>
              <w:spacing w:after="0" w:before="0"/>
            </w:pPr>
            <w:r>
              <w:rPr>
                <w:rFonts w:ascii="Aptos" w:hAnsi="Aptos"/>
                <w:sz w:val="17"/>
              </w:rPr>
              <w:t>Set the budget from maintenance capacity</w:t>
            </w:r>
          </w:p>
        </w:tc>
      </w:tr>
      <w:tr>
        <w:tc>
          <w:tcPr>
            <w:tcW w:type="dxa" w:w="2232"/>
            <w:shd w:fill="EAF2F8"/>
            <w:tcBorders>
              <w:top w:val="single" w:sz="4" w:color="D0D5DD"/>
              <w:left w:val="single" w:sz="4" w:color="D0D5DD"/>
              <w:bottom w:val="single" w:sz="4" w:color="D0D5DD"/>
              <w:right w:val="single" w:sz="4" w:color="D0D5DD"/>
              <w:insideH w:val="single" w:sz="4" w:color="D0D5DD"/>
              <w:insideV w:val="single" w:sz="4" w:color="D0D5DD"/>
            </w:tcBorders>
            <w:vAlign w:val="center"/>
          </w:tcPr>
          <w:p>
            <w:pPr>
              <w:spacing w:after="0" w:before="0"/>
            </w:pPr>
            <w:r>
              <w:rPr>
                <w:rFonts w:ascii="Aptos" w:hAnsi="Aptos"/>
                <w:sz w:val="17"/>
              </w:rPr>
              <w:t>Precision</w:t>
            </w:r>
          </w:p>
        </w:tc>
        <w:tc>
          <w:tcPr>
            <w:tcW w:type="dxa" w:w="3888"/>
            <w:shd w:fill="EAF2F8"/>
            <w:tcBorders>
              <w:top w:val="single" w:sz="4" w:color="D0D5DD"/>
              <w:left w:val="single" w:sz="4" w:color="D0D5DD"/>
              <w:bottom w:val="single" w:sz="4" w:color="D0D5DD"/>
              <w:right w:val="single" w:sz="4" w:color="D0D5DD"/>
              <w:insideH w:val="single" w:sz="4" w:color="D0D5DD"/>
              <w:insideV w:val="single" w:sz="4" w:color="D0D5DD"/>
            </w:tcBorders>
            <w:vAlign w:val="center"/>
          </w:tcPr>
          <w:p>
            <w:pPr>
              <w:spacing w:after="0" w:before="0"/>
            </w:pPr>
            <w:r>
              <w:rPr>
                <w:rFonts w:ascii="Aptos" w:hAnsi="Aptos"/>
                <w:sz w:val="17"/>
              </w:rPr>
              <w:t>How many alerts lead to a failure within the horizon</w:t>
            </w:r>
          </w:p>
        </w:tc>
        <w:tc>
          <w:tcPr>
            <w:tcW w:type="dxa" w:w="3888"/>
            <w:shd w:fill="EAF2F8"/>
            <w:tcBorders>
              <w:top w:val="single" w:sz="4" w:color="D0D5DD"/>
              <w:left w:val="single" w:sz="4" w:color="D0D5DD"/>
              <w:bottom w:val="single" w:sz="4" w:color="D0D5DD"/>
              <w:right w:val="single" w:sz="4" w:color="D0D5DD"/>
              <w:insideH w:val="single" w:sz="4" w:color="D0D5DD"/>
              <w:insideV w:val="single" w:sz="4" w:color="D0D5DD"/>
            </w:tcBorders>
            <w:vAlign w:val="center"/>
          </w:tcPr>
          <w:p>
            <w:pPr>
              <w:spacing w:after="0" w:before="0"/>
            </w:pPr>
            <w:r>
              <w:rPr>
                <w:rFonts w:ascii="Aptos" w:hAnsi="Aptos"/>
                <w:sz w:val="17"/>
              </w:rPr>
              <w:t>Low precision creates inspection fatigue</w:t>
            </w:r>
          </w:p>
        </w:tc>
      </w:tr>
      <w:tr>
        <w:tc>
          <w:tcPr>
            <w:tcW w:type="dxa" w:w="2232"/>
            <w:shd w:fill="FFFFFF"/>
            <w:tcBorders>
              <w:top w:val="single" w:sz="4" w:color="D0D5DD"/>
              <w:left w:val="single" w:sz="4" w:color="D0D5DD"/>
              <w:bottom w:val="single" w:sz="4" w:color="D0D5DD"/>
              <w:right w:val="single" w:sz="4" w:color="D0D5DD"/>
              <w:insideH w:val="single" w:sz="4" w:color="D0D5DD"/>
              <w:insideV w:val="single" w:sz="4" w:color="D0D5DD"/>
            </w:tcBorders>
            <w:vAlign w:val="center"/>
          </w:tcPr>
          <w:p>
            <w:pPr>
              <w:spacing w:after="0" w:before="0"/>
            </w:pPr>
            <w:r>
              <w:rPr>
                <w:rFonts w:ascii="Aptos" w:hAnsi="Aptos"/>
                <w:sz w:val="17"/>
              </w:rPr>
              <w:t>Brier score and calibration</w:t>
            </w:r>
          </w:p>
        </w:tc>
        <w:tc>
          <w:tcPr>
            <w:tcW w:type="dxa" w:w="3888"/>
            <w:shd w:fill="FFFFFF"/>
            <w:tcBorders>
              <w:top w:val="single" w:sz="4" w:color="D0D5DD"/>
              <w:left w:val="single" w:sz="4" w:color="D0D5DD"/>
              <w:bottom w:val="single" w:sz="4" w:color="D0D5DD"/>
              <w:right w:val="single" w:sz="4" w:color="D0D5DD"/>
              <w:insideH w:val="single" w:sz="4" w:color="D0D5DD"/>
              <w:insideV w:val="single" w:sz="4" w:color="D0D5DD"/>
            </w:tcBorders>
            <w:vAlign w:val="center"/>
          </w:tcPr>
          <w:p>
            <w:pPr>
              <w:spacing w:after="0" w:before="0"/>
            </w:pPr>
            <w:r>
              <w:rPr>
                <w:rFonts w:ascii="Aptos" w:hAnsi="Aptos"/>
                <w:sz w:val="17"/>
              </w:rPr>
              <w:t>Do predicted probabilities match observed failure rates</w:t>
            </w:r>
          </w:p>
        </w:tc>
        <w:tc>
          <w:tcPr>
            <w:tcW w:type="dxa" w:w="3888"/>
            <w:shd w:fill="FFFFFF"/>
            <w:tcBorders>
              <w:top w:val="single" w:sz="4" w:color="D0D5DD"/>
              <w:left w:val="single" w:sz="4" w:color="D0D5DD"/>
              <w:bottom w:val="single" w:sz="4" w:color="D0D5DD"/>
              <w:right w:val="single" w:sz="4" w:color="D0D5DD"/>
              <w:insideH w:val="single" w:sz="4" w:color="D0D5DD"/>
              <w:insideV w:val="single" w:sz="4" w:color="D0D5DD"/>
            </w:tcBorders>
            <w:vAlign w:val="center"/>
          </w:tcPr>
          <w:p>
            <w:pPr>
              <w:spacing w:after="0" w:before="0"/>
            </w:pPr>
            <w:r>
              <w:rPr>
                <w:rFonts w:ascii="Aptos" w:hAnsi="Aptos"/>
                <w:sz w:val="17"/>
              </w:rPr>
              <w:t>Needed when probability drives prioritization</w:t>
            </w:r>
          </w:p>
        </w:tc>
      </w:tr>
      <w:tr>
        <w:tc>
          <w:tcPr>
            <w:tcW w:type="dxa" w:w="2232"/>
            <w:shd w:fill="EAF2F8"/>
            <w:tcBorders>
              <w:top w:val="single" w:sz="4" w:color="D0D5DD"/>
              <w:left w:val="single" w:sz="4" w:color="D0D5DD"/>
              <w:bottom w:val="single" w:sz="4" w:color="D0D5DD"/>
              <w:right w:val="single" w:sz="4" w:color="D0D5DD"/>
              <w:insideH w:val="single" w:sz="4" w:color="D0D5DD"/>
              <w:insideV w:val="single" w:sz="4" w:color="D0D5DD"/>
            </w:tcBorders>
            <w:vAlign w:val="center"/>
          </w:tcPr>
          <w:p>
            <w:pPr>
              <w:spacing w:after="0" w:before="0"/>
            </w:pPr>
            <w:r>
              <w:rPr>
                <w:rFonts w:ascii="Aptos" w:hAnsi="Aptos"/>
                <w:sz w:val="17"/>
              </w:rPr>
              <w:t>Warning lead time</w:t>
            </w:r>
          </w:p>
        </w:tc>
        <w:tc>
          <w:tcPr>
            <w:tcW w:type="dxa" w:w="3888"/>
            <w:shd w:fill="EAF2F8"/>
            <w:tcBorders>
              <w:top w:val="single" w:sz="4" w:color="D0D5DD"/>
              <w:left w:val="single" w:sz="4" w:color="D0D5DD"/>
              <w:bottom w:val="single" w:sz="4" w:color="D0D5DD"/>
              <w:right w:val="single" w:sz="4" w:color="D0D5DD"/>
              <w:insideH w:val="single" w:sz="4" w:color="D0D5DD"/>
              <w:insideV w:val="single" w:sz="4" w:color="D0D5DD"/>
            </w:tcBorders>
            <w:vAlign w:val="center"/>
          </w:tcPr>
          <w:p>
            <w:pPr>
              <w:spacing w:after="0" w:before="0"/>
            </w:pPr>
            <w:r>
              <w:rPr>
                <w:rFonts w:ascii="Aptos" w:hAnsi="Aptos"/>
                <w:sz w:val="17"/>
              </w:rPr>
              <w:t>How early does the first useful alert occur</w:t>
            </w:r>
          </w:p>
        </w:tc>
        <w:tc>
          <w:tcPr>
            <w:tcW w:type="dxa" w:w="3888"/>
            <w:shd w:fill="EAF2F8"/>
            <w:tcBorders>
              <w:top w:val="single" w:sz="4" w:color="D0D5DD"/>
              <w:left w:val="single" w:sz="4" w:color="D0D5DD"/>
              <w:bottom w:val="single" w:sz="4" w:color="D0D5DD"/>
              <w:right w:val="single" w:sz="4" w:color="D0D5DD"/>
              <w:insideH w:val="single" w:sz="4" w:color="D0D5DD"/>
              <w:insideV w:val="single" w:sz="4" w:color="D0D5DD"/>
            </w:tcBorders>
            <w:vAlign w:val="center"/>
          </w:tcPr>
          <w:p>
            <w:pPr>
              <w:spacing w:after="0" w:before="0"/>
            </w:pPr>
            <w:r>
              <w:rPr>
                <w:rFonts w:ascii="Aptos" w:hAnsi="Aptos"/>
                <w:sz w:val="17"/>
              </w:rPr>
              <w:t>Measure the distribution, not only the average</w:t>
            </w:r>
          </w:p>
        </w:tc>
      </w:tr>
      <w:tr>
        <w:tc>
          <w:tcPr>
            <w:tcW w:type="dxa" w:w="2232"/>
            <w:shd w:fill="FFFFFF"/>
            <w:tcBorders>
              <w:top w:val="single" w:sz="4" w:color="D0D5DD"/>
              <w:left w:val="single" w:sz="4" w:color="D0D5DD"/>
              <w:bottom w:val="single" w:sz="4" w:color="D0D5DD"/>
              <w:right w:val="single" w:sz="4" w:color="D0D5DD"/>
              <w:insideH w:val="single" w:sz="4" w:color="D0D5DD"/>
              <w:insideV w:val="single" w:sz="4" w:color="D0D5DD"/>
            </w:tcBorders>
            <w:vAlign w:val="center"/>
          </w:tcPr>
          <w:p>
            <w:pPr>
              <w:spacing w:after="0" w:before="0"/>
            </w:pPr>
            <w:r>
              <w:rPr>
                <w:rFonts w:ascii="Aptos" w:hAnsi="Aptos"/>
                <w:sz w:val="17"/>
              </w:rPr>
              <w:t>False alerts per asset month</w:t>
            </w:r>
          </w:p>
        </w:tc>
        <w:tc>
          <w:tcPr>
            <w:tcW w:type="dxa" w:w="3888"/>
            <w:shd w:fill="FFFFFF"/>
            <w:tcBorders>
              <w:top w:val="single" w:sz="4" w:color="D0D5DD"/>
              <w:left w:val="single" w:sz="4" w:color="D0D5DD"/>
              <w:bottom w:val="single" w:sz="4" w:color="D0D5DD"/>
              <w:right w:val="single" w:sz="4" w:color="D0D5DD"/>
              <w:insideH w:val="single" w:sz="4" w:color="D0D5DD"/>
              <w:insideV w:val="single" w:sz="4" w:color="D0D5DD"/>
            </w:tcBorders>
            <w:vAlign w:val="center"/>
          </w:tcPr>
          <w:p>
            <w:pPr>
              <w:spacing w:after="0" w:before="0"/>
            </w:pPr>
            <w:r>
              <w:rPr>
                <w:rFonts w:ascii="Aptos" w:hAnsi="Aptos"/>
                <w:sz w:val="17"/>
              </w:rPr>
              <w:t>What workload does the model create</w:t>
            </w:r>
          </w:p>
        </w:tc>
        <w:tc>
          <w:tcPr>
            <w:tcW w:type="dxa" w:w="3888"/>
            <w:shd w:fill="FFFFFF"/>
            <w:tcBorders>
              <w:top w:val="single" w:sz="4" w:color="D0D5DD"/>
              <w:left w:val="single" w:sz="4" w:color="D0D5DD"/>
              <w:bottom w:val="single" w:sz="4" w:color="D0D5DD"/>
              <w:right w:val="single" w:sz="4" w:color="D0D5DD"/>
              <w:insideH w:val="single" w:sz="4" w:color="D0D5DD"/>
              <w:insideV w:val="single" w:sz="4" w:color="D0D5DD"/>
            </w:tcBorders>
            <w:vAlign w:val="center"/>
          </w:tcPr>
          <w:p>
            <w:pPr>
              <w:spacing w:after="0" w:before="0"/>
            </w:pPr>
            <w:r>
              <w:rPr>
                <w:rFonts w:ascii="Aptos" w:hAnsi="Aptos"/>
                <w:sz w:val="17"/>
              </w:rPr>
              <w:t>Translate model behavior into operations</w:t>
            </w:r>
          </w:p>
        </w:tc>
      </w:tr>
    </w:tbl>
    <w:p>
      <w:pPr>
        <w:spacing w:after="0"/>
      </w:pPr>
    </w:p>
    <w:p>
      <w:pPr>
        <w:spacing w:after="140" w:line="259" w:lineRule="auto"/>
      </w:pPr>
      <w:r>
        <w:rPr>
          <w:rFonts w:ascii="Aptos" w:hAnsi="Aptos"/>
        </w:rPr>
        <w:t>With an illustrative positive rate of 0.8 percent, a random ranking has a precision-recall AUC near 0.008. A much higher score indicates separation, but a very high result on synthetic data should trigger leakage and generator-rule checks before it is treated as evidence of field performance.</w:t>
      </w:r>
    </w:p>
    <w:p>
      <w:pPr>
        <w:pStyle w:val="Heading1"/>
      </w:pPr>
      <w:r>
        <w:t>Recommended next steps</w:t>
      </w:r>
    </w:p>
    <w:p>
      <w:pPr>
        <w:pStyle w:val="ListNumber"/>
        <w:spacing w:after="100"/>
        <w:ind w:left="389" w:hanging="259"/>
      </w:pPr>
      <w:r>
        <w:rPr>
          <w:rFonts w:ascii="Aptos" w:hAnsi="Aptos"/>
        </w:rPr>
        <w:t>Increase failure diversity before increasing raw telemetry volume. Add failure modes, equipment models, site conditions, and precursor patterns.</w:t>
      </w:r>
    </w:p>
    <w:p>
      <w:pPr>
        <w:pStyle w:val="ListNumber"/>
        <w:spacing w:after="100"/>
        <w:ind w:left="389" w:hanging="259"/>
      </w:pPr>
      <w:r>
        <w:rPr>
          <w:rFonts w:ascii="Aptos" w:hAnsi="Aptos"/>
        </w:rPr>
        <w:t>Create hard negatives and ambiguous cases so the model cannot equate high load with imminent failure.</w:t>
      </w:r>
    </w:p>
    <w:p>
      <w:pPr>
        <w:pStyle w:val="ListNumber"/>
        <w:spacing w:after="100"/>
        <w:ind w:left="389" w:hanging="259"/>
      </w:pPr>
      <w:r>
        <w:rPr>
          <w:rFonts w:ascii="Aptos" w:hAnsi="Aptos"/>
        </w:rPr>
        <w:t>Keep the chronological split, then run a second evaluation that holds out complete assets or sites.</w:t>
      </w:r>
    </w:p>
    <w:p>
      <w:pPr>
        <w:pStyle w:val="ListNumber"/>
        <w:spacing w:after="100"/>
        <w:ind w:left="389" w:hanging="259"/>
      </w:pPr>
      <w:r>
        <w:rPr>
          <w:rFonts w:ascii="Aptos" w:hAnsi="Aptos"/>
        </w:rPr>
        <w:t>Compare 24-hour, 72-hour, and 168-hour forecast horizons. The useful horizon depends on how much time maintenance teams need to act.</w:t>
      </w:r>
    </w:p>
    <w:p>
      <w:pPr>
        <w:pStyle w:val="ListNumber"/>
        <w:spacing w:after="100"/>
        <w:ind w:left="389" w:hanging="259"/>
      </w:pPr>
      <w:r>
        <w:rPr>
          <w:rFonts w:ascii="Aptos" w:hAnsi="Aptos"/>
        </w:rPr>
        <w:t>Inspect feature importance and SHAP values by split and equipment type. Unexpected dominance by timestamps, identifiers, or generator artifacts often reveals leakage.</w:t>
      </w:r>
    </w:p>
    <w:p>
      <w:pPr>
        <w:pStyle w:val="ListNumber"/>
        <w:spacing w:after="100"/>
        <w:ind w:left="389" w:hanging="259"/>
      </w:pPr>
      <w:r>
        <w:rPr>
          <w:rFonts w:ascii="Aptos" w:hAnsi="Aptos"/>
        </w:rPr>
        <w:t>Raise the one-million-row local training cap only after confirming that learning curves still improve and driver memory can support the larger matrix.</w:t>
      </w:r>
    </w:p>
    <w:p>
      <w:pPr>
        <w:pStyle w:val="Heading1"/>
      </w:pPr>
      <w:r>
        <w:t>Decision</w:t>
      </w:r>
    </w:p>
    <w:p>
      <w:pPr>
        <w:spacing w:after="140" w:line="259" w:lineRule="auto"/>
      </w:pPr>
      <w:r>
        <w:rPr>
          <w:rFonts w:ascii="Aptos" w:hAnsi="Aptos"/>
        </w:rPr>
        <w:t>The 1.5 billion telemetry rows are enough to develop and load-test the predictive-maintenance workflow. Continue using synthetic data to test feature engineering, label construction, model training, scoring, and Delta-table writes. Judge model readiness by failure diversity and out-of-sample performance, not by raw row count. Before operational use, retrain and validate with representative field telemetry and confirmed maintenance outcomes.</w:t>
      </w:r>
    </w:p>
    <w:sectPr w:rsidR="00FC693F" w:rsidRPr="0006063C" w:rsidSect="00034616">
      <w:headerReference w:type="default" r:id="rId9"/>
      <w:footerReference w:type="default" r:id="rId10"/>
      <w:pgSz w:w="12240" w:h="15840"/>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ptos" w:hAnsi="Aptos"/>
        <w:color w:val="667085"/>
        <w:sz w:val="16"/>
      </w:rPr>
      <w:t>EpsilonApps  •  Predictive maintenance model readiness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ptos" w:hAnsi="Aptos"/>
        <w:b/>
        <w:color w:val="667085"/>
        <w:sz w:val="16"/>
      </w:rPr>
      <w:t>EPSILON IOT  |  TECHNICAL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XGBoost Training Data Adequacy Assessment</dc:title>
  <dc:subject>Evaluation of IoT telemetry volume for predictive maintenance model training</dc:subject>
  <dc:creator>EpsilonApps</dc:creator>
  <cp:keywords>XGBoost, IoT, predictive maintenance, telemetry, MTBF, Databricks</cp:keywords>
  <dc:description>generated by python-docx</dc:description>
  <cp:lastModifiedBy/>
  <cp:revision>1</cp:revision>
  <dcterms:created xsi:type="dcterms:W3CDTF">2013-12-23T23:15:00Z</dcterms:created>
  <dcterms:modified xsi:type="dcterms:W3CDTF">2013-12-23T23:15:00Z</dcterms:modified>
  <cp:category/>
</cp:coreProperties>
</file>