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公司财务报告 — 2025年第一季度</w:t>
      </w:r>
    </w:p>
    <w:p>
      <w:r>
        <w:t>总预算：¥500,000</w:t>
      </w:r>
    </w:p>
    <w:p>
      <w:r>
        <w:t>实际支出：¥425,000</w:t>
      </w:r>
    </w:p>
    <w:p>
      <w:r>
        <w:t>剩余资金：¥75,000</w:t>
      </w:r>
    </w:p>
    <w:p>
      <w:r>
        <w:t>负责人：李明</w:t>
      </w:r>
    </w:p>
    <w:p>
      <w:r>
        <w:t>审批日期：2025年3月15日</w:t>
      </w:r>
    </w:p>
    <w:p>
      <w:r>
        <w:t>备注：本季度预算执行情况良好，所有项目均在预算范围内完成。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