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Q1 budget allocation exceeded initial projections by 12%. Revenue from the northeast region contributed significantly to the overall budget surplus. Management recommends reallocating the remaining budget to R&amp;D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